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35C1" w14:textId="77777777" w:rsidR="00AB1811" w:rsidRPr="00B3593C" w:rsidRDefault="00AB1811" w:rsidP="005859A8">
      <w:pPr>
        <w:ind w:left="180" w:right="126" w:firstLine="720"/>
        <w:jc w:val="both"/>
        <w:rPr>
          <w:sz w:val="12"/>
          <w:szCs w:val="12"/>
        </w:rPr>
      </w:pPr>
      <w:bookmarkStart w:id="0" w:name="_Hlk179524393"/>
      <w:bookmarkEnd w:id="0"/>
    </w:p>
    <w:p w14:paraId="22571AB8" w14:textId="77777777" w:rsidR="00FC682A" w:rsidRDefault="00051DB5" w:rsidP="00051DB5">
      <w:pPr>
        <w:ind w:right="126"/>
        <w:jc w:val="center"/>
        <w:rPr>
          <w:b/>
        </w:rPr>
      </w:pPr>
      <w:r>
        <w:rPr>
          <w:b/>
        </w:rPr>
        <w:t xml:space="preserve">MEDINIŲ </w:t>
      </w:r>
      <w:r w:rsidR="00FC682A">
        <w:rPr>
          <w:b/>
        </w:rPr>
        <w:t>LAIKANČIŲ KONSTRUKCIJŲ</w:t>
      </w:r>
      <w:r>
        <w:rPr>
          <w:b/>
        </w:rPr>
        <w:t xml:space="preserve"> </w:t>
      </w:r>
    </w:p>
    <w:p w14:paraId="151335C2" w14:textId="3A1DBFE2" w:rsidR="00051DB5" w:rsidRDefault="00FC682A" w:rsidP="00051DB5">
      <w:pPr>
        <w:ind w:right="126"/>
        <w:jc w:val="center"/>
        <w:rPr>
          <w:b/>
        </w:rPr>
      </w:pPr>
      <w:r>
        <w:rPr>
          <w:b/>
        </w:rPr>
        <w:t>ATSPARUMO UGNIAI DIDINIMO</w:t>
      </w:r>
      <w:r w:rsidR="00051DB5">
        <w:rPr>
          <w:b/>
        </w:rPr>
        <w:t xml:space="preserve"> SISTEMA </w:t>
      </w:r>
    </w:p>
    <w:p w14:paraId="151335C3" w14:textId="181D7642" w:rsidR="00F049BE" w:rsidRPr="00A043B0" w:rsidRDefault="00051DB5" w:rsidP="00051DB5">
      <w:pPr>
        <w:ind w:right="126"/>
        <w:jc w:val="center"/>
        <w:rPr>
          <w:b/>
          <w:lang w:val="en-US"/>
        </w:rPr>
      </w:pPr>
      <w:r>
        <w:rPr>
          <w:b/>
        </w:rPr>
        <w:t>PANAUDOJANT</w:t>
      </w:r>
      <w:r w:rsidR="00287E75">
        <w:rPr>
          <w:b/>
        </w:rPr>
        <w:t xml:space="preserve"> </w:t>
      </w:r>
      <w:r w:rsidR="00DD123C">
        <w:rPr>
          <w:b/>
        </w:rPr>
        <w:t xml:space="preserve">PRIEŠGAISRINĘ DANGĄ </w:t>
      </w:r>
      <w:r w:rsidR="00FC682A">
        <w:rPr>
          <w:b/>
        </w:rPr>
        <w:t>PROMADUR</w:t>
      </w:r>
      <w:r w:rsidR="00287E75" w:rsidRPr="007E7226">
        <w:rPr>
          <w:b/>
          <w:vertAlign w:val="superscript"/>
        </w:rPr>
        <w:t>®</w:t>
      </w:r>
      <w:r w:rsidR="00FC682A">
        <w:rPr>
          <w:b/>
        </w:rPr>
        <w:t xml:space="preserve"> </w:t>
      </w:r>
    </w:p>
    <w:p w14:paraId="151335C4" w14:textId="77777777" w:rsidR="000113FB" w:rsidRDefault="00051DB5" w:rsidP="00051DB5">
      <w:pPr>
        <w:ind w:right="126"/>
        <w:jc w:val="center"/>
        <w:rPr>
          <w:b/>
        </w:rPr>
      </w:pPr>
      <w:r>
        <w:rPr>
          <w:b/>
        </w:rPr>
        <w:t>TECHNINĖ SPECIFIKACIJA</w:t>
      </w:r>
    </w:p>
    <w:p w14:paraId="151335C5" w14:textId="18584069" w:rsidR="000113FB" w:rsidRDefault="000113FB" w:rsidP="00C976B8">
      <w:pPr>
        <w:ind w:left="180" w:right="126" w:firstLine="900"/>
        <w:jc w:val="both"/>
        <w:rPr>
          <w:b/>
        </w:rPr>
      </w:pPr>
    </w:p>
    <w:p w14:paraId="16D23B9C" w14:textId="0CABB4DE" w:rsidR="00492E0E" w:rsidRDefault="00DB565A" w:rsidP="00875C38">
      <w:pPr>
        <w:ind w:left="284" w:right="321" w:firstLine="38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9C72DE" wp14:editId="48440E8B">
            <wp:simplePos x="0" y="0"/>
            <wp:positionH relativeFrom="margin">
              <wp:align>right</wp:align>
            </wp:positionH>
            <wp:positionV relativeFrom="paragraph">
              <wp:posOffset>40737</wp:posOffset>
            </wp:positionV>
            <wp:extent cx="2643505" cy="2045335"/>
            <wp:effectExtent l="0" t="0" r="4445" b="0"/>
            <wp:wrapTight wrapText="bothSides">
              <wp:wrapPolygon edited="0">
                <wp:start x="0" y="0"/>
                <wp:lineTo x="0" y="21325"/>
                <wp:lineTo x="21481" y="21325"/>
                <wp:lineTo x="21481" y="0"/>
                <wp:lineTo x="0" y="0"/>
              </wp:wrapPolygon>
            </wp:wrapTight>
            <wp:docPr id="22252480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E0E">
        <w:t>Priešgaisrin</w:t>
      </w:r>
      <w:r w:rsidR="007B289D">
        <w:t>ė</w:t>
      </w:r>
      <w:r w:rsidR="00492E0E">
        <w:t xml:space="preserve"> dang</w:t>
      </w:r>
      <w:r w:rsidR="00953230">
        <w:t>a</w:t>
      </w:r>
      <w:r w:rsidR="00492E0E">
        <w:t xml:space="preserve"> </w:t>
      </w:r>
      <w:r w:rsidR="00953230">
        <w:t>PROMADUR</w:t>
      </w:r>
      <w:r w:rsidR="00953230" w:rsidRPr="00ED652D">
        <w:rPr>
          <w:vertAlign w:val="superscript"/>
        </w:rPr>
        <w:t>®</w:t>
      </w:r>
      <w:r w:rsidR="00953230">
        <w:t xml:space="preserve"> </w:t>
      </w:r>
      <w:r w:rsidR="00492E0E">
        <w:t>skirt</w:t>
      </w:r>
      <w:r w:rsidR="00953230">
        <w:t>a</w:t>
      </w:r>
      <w:r w:rsidR="00492E0E">
        <w:t xml:space="preserve"> medienos apsaugai nuo ugnies</w:t>
      </w:r>
      <w:r w:rsidR="00953230">
        <w:t xml:space="preserve">. </w:t>
      </w:r>
      <w:r w:rsidR="004F46F8">
        <w:t>Šia danga padengus medines konstrukcijas</w:t>
      </w:r>
      <w:r w:rsidR="007F2DA8">
        <w:t xml:space="preserve"> galima užtikrinti:</w:t>
      </w:r>
      <w:r w:rsidR="00492E0E">
        <w:t xml:space="preserve"> </w:t>
      </w:r>
    </w:p>
    <w:p w14:paraId="67FCD562" w14:textId="52BB06B4" w:rsidR="007F2DA8" w:rsidRDefault="007F2DA8" w:rsidP="007F2DA8">
      <w:pPr>
        <w:pStyle w:val="Sraopastraipa"/>
        <w:numPr>
          <w:ilvl w:val="0"/>
          <w:numId w:val="6"/>
        </w:numPr>
        <w:ind w:right="321"/>
        <w:jc w:val="both"/>
      </w:pPr>
      <w:r>
        <w:t xml:space="preserve">Degumo klasę </w:t>
      </w:r>
      <w:r w:rsidRPr="007F2DA8">
        <w:t>B-s1, d0</w:t>
      </w:r>
    </w:p>
    <w:p w14:paraId="5EE07243" w14:textId="6BFD1B4E" w:rsidR="007F2DA8" w:rsidRDefault="007F2DA8" w:rsidP="007F2DA8">
      <w:pPr>
        <w:pStyle w:val="Sraopastraipa"/>
        <w:numPr>
          <w:ilvl w:val="0"/>
          <w:numId w:val="6"/>
        </w:numPr>
        <w:ind w:right="321"/>
        <w:jc w:val="both"/>
      </w:pPr>
      <w:r>
        <w:t xml:space="preserve">Atsparumą ugniai </w:t>
      </w:r>
      <w:r w:rsidR="00336A58">
        <w:t>R30</w:t>
      </w:r>
    </w:p>
    <w:p w14:paraId="7EC517B9" w14:textId="680D6490" w:rsidR="00336A58" w:rsidRDefault="00336A58" w:rsidP="007F2DA8">
      <w:pPr>
        <w:pStyle w:val="Sraopastraipa"/>
        <w:numPr>
          <w:ilvl w:val="0"/>
          <w:numId w:val="6"/>
        </w:numPr>
        <w:ind w:right="321"/>
        <w:jc w:val="both"/>
      </w:pPr>
      <w:r>
        <w:t>Atsparumą ugniai R45</w:t>
      </w:r>
    </w:p>
    <w:p w14:paraId="2233B989" w14:textId="5AD11BAD" w:rsidR="004F46F8" w:rsidRDefault="00B36ED7" w:rsidP="00B36ED7">
      <w:pPr>
        <w:ind w:left="284" w:right="321" w:firstLine="387"/>
        <w:jc w:val="both"/>
      </w:pPr>
      <w:r>
        <w:t xml:space="preserve">Degumo klasė buvo išbandyta pagal standarto </w:t>
      </w:r>
      <w:r w:rsidRPr="00E37C96">
        <w:rPr>
          <w:b/>
          <w:bCs/>
        </w:rPr>
        <w:t>LST EN 13501-1</w:t>
      </w:r>
      <w:r>
        <w:t xml:space="preserve"> reikalavimus. Bandymo rezultatai patvirtina, kad gaminys atitinka šio standarto nustatytus techninius kriterijus, vertinančius statybinių medžiagų reakciją į ugnį.</w:t>
      </w:r>
    </w:p>
    <w:p w14:paraId="0E7EE9F3" w14:textId="0187D31F" w:rsidR="00B36ED7" w:rsidRDefault="00DB565A" w:rsidP="00B36ED7">
      <w:pPr>
        <w:ind w:left="284" w:right="321" w:firstLine="387"/>
        <w:jc w:val="both"/>
      </w:pPr>
      <w:r>
        <w:t xml:space="preserve">Atsparumas ugniai buvo išbandytas pagal standarto </w:t>
      </w:r>
      <w:r w:rsidRPr="00E37C96">
        <w:rPr>
          <w:b/>
          <w:bCs/>
        </w:rPr>
        <w:t>LST EN 13501-2</w:t>
      </w:r>
      <w:r>
        <w:t xml:space="preserve"> reikalavimus. Bandymo metu buvo įvertintas gaminio gebėjimas išlaikyti konstrukcinį vientisumą ir izoliacines savybes esant aukštai temperatūrai.</w:t>
      </w:r>
    </w:p>
    <w:p w14:paraId="151335C6" w14:textId="6DA7B427" w:rsidR="0003329A" w:rsidRDefault="00A043B0" w:rsidP="00875C38">
      <w:pPr>
        <w:ind w:left="284" w:right="321" w:firstLine="387"/>
        <w:jc w:val="both"/>
      </w:pPr>
      <w:r w:rsidRPr="00A043B0">
        <w:t>Pastatų laikančiosioms medinėms konstrukcijoms užtikrinti atsparumą ugniai ir degumo klasę yra itin svarbu</w:t>
      </w:r>
      <w:r w:rsidR="00E753BA">
        <w:t>, nes gaisro plitimo greitis gali būti lemiamas gyvybių išsaugojimo faktorius. Jei laikančiosios konstrukcijos nesugeba pakankamai ilgai atlaikyti ugnies poveikio, gali įvykti konstrukcinis pastato sugriuvimas, o tai labai pavojinga žmonėms esantiems pastate</w:t>
      </w:r>
      <w:r w:rsidR="00DA6412">
        <w:t xml:space="preserve"> ir gaisrą gesinantiems ir gelbėjimo darbus atliekantiems ugniagesiams</w:t>
      </w:r>
      <w:r w:rsidR="00E753BA">
        <w:t>.</w:t>
      </w:r>
      <w:r w:rsidR="00E518C5">
        <w:t xml:space="preserve"> Todėl tinkamas atsparumo ugniai ir degumo klasės užtikrinimas medinėms konstrukcijoms padeda ne tik išvengti nelaimių, bet ir užtikrinti pastato saugumą, ilgaamžiškumą.</w:t>
      </w:r>
    </w:p>
    <w:p w14:paraId="339884F5" w14:textId="24D23E9B" w:rsidR="000D6338" w:rsidRDefault="000D6338" w:rsidP="00875C38">
      <w:pPr>
        <w:ind w:left="284" w:right="321" w:firstLine="387"/>
        <w:jc w:val="both"/>
      </w:pPr>
    </w:p>
    <w:tbl>
      <w:tblPr>
        <w:tblStyle w:val="Lentelstinklelis"/>
        <w:tblW w:w="0" w:type="auto"/>
        <w:tblInd w:w="846" w:type="dxa"/>
        <w:tblLook w:val="04A0" w:firstRow="1" w:lastRow="0" w:firstColumn="1" w:lastColumn="0" w:noHBand="0" w:noVBand="1"/>
      </w:tblPr>
      <w:tblGrid>
        <w:gridCol w:w="4271"/>
        <w:gridCol w:w="4234"/>
      </w:tblGrid>
      <w:tr w:rsidR="005446F3" w14:paraId="4E9815F5" w14:textId="77777777" w:rsidTr="00B34DDC">
        <w:trPr>
          <w:trHeight w:val="275"/>
        </w:trPr>
        <w:tc>
          <w:tcPr>
            <w:tcW w:w="8505" w:type="dxa"/>
            <w:gridSpan w:val="2"/>
            <w:shd w:val="clear" w:color="auto" w:fill="00B0F0"/>
            <w:vAlign w:val="center"/>
          </w:tcPr>
          <w:p w14:paraId="2F042F51" w14:textId="5301BB5E" w:rsidR="005446F3" w:rsidRPr="00B34DDC" w:rsidRDefault="00B34DDC" w:rsidP="00B34DDC">
            <w:pPr>
              <w:ind w:right="321"/>
              <w:jc w:val="center"/>
              <w:rPr>
                <w:b/>
                <w:bCs/>
                <w:color w:val="FFFFFF" w:themeColor="background1"/>
              </w:rPr>
            </w:pPr>
            <w:r w:rsidRPr="00B34DDC">
              <w:rPr>
                <w:b/>
                <w:bCs/>
                <w:color w:val="FFFFFF" w:themeColor="background1"/>
              </w:rPr>
              <w:t>Techniniai duomenys ir savybės</w:t>
            </w:r>
          </w:p>
        </w:tc>
      </w:tr>
      <w:tr w:rsidR="00ED0113" w14:paraId="3E8E7C57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3B8F488C" w14:textId="32504326" w:rsidR="00ED0113" w:rsidRPr="00B34DDC" w:rsidRDefault="0049605B" w:rsidP="0049605B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Spalva </w:t>
            </w:r>
          </w:p>
        </w:tc>
        <w:tc>
          <w:tcPr>
            <w:tcW w:w="4234" w:type="dxa"/>
            <w:vAlign w:val="center"/>
          </w:tcPr>
          <w:p w14:paraId="02DEF5F5" w14:textId="4C2CE03F" w:rsidR="00ED0113" w:rsidRDefault="00B34DDC" w:rsidP="00875C38">
            <w:pPr>
              <w:ind w:right="321"/>
              <w:jc w:val="both"/>
            </w:pPr>
            <w:r>
              <w:t>Skaidrus</w:t>
            </w:r>
          </w:p>
        </w:tc>
      </w:tr>
      <w:tr w:rsidR="00ED0113" w14:paraId="16D36300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7B44E242" w14:textId="1A8C0C73" w:rsidR="00ED0113" w:rsidRPr="00B34DDC" w:rsidRDefault="0049605B" w:rsidP="0049605B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Tankis </w:t>
            </w:r>
          </w:p>
        </w:tc>
        <w:tc>
          <w:tcPr>
            <w:tcW w:w="4234" w:type="dxa"/>
            <w:vAlign w:val="center"/>
          </w:tcPr>
          <w:p w14:paraId="1CA8E7DA" w14:textId="4F8CC7CC" w:rsidR="00ED0113" w:rsidRDefault="0049605B" w:rsidP="00875C38">
            <w:pPr>
              <w:ind w:right="321"/>
              <w:jc w:val="both"/>
            </w:pPr>
            <w:r>
              <w:t>1,30 ± 0,05 g/cm</w:t>
            </w:r>
            <w:r w:rsidRPr="00B34DDC">
              <w:rPr>
                <w:vertAlign w:val="superscript"/>
              </w:rPr>
              <w:t>3</w:t>
            </w:r>
          </w:p>
        </w:tc>
      </w:tr>
      <w:tr w:rsidR="00ED0113" w14:paraId="7D61F07E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4689B172" w14:textId="55AD1E69" w:rsidR="00ED0113" w:rsidRPr="00B34DDC" w:rsidRDefault="0049605B" w:rsidP="005E4D74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Klampumas </w:t>
            </w:r>
          </w:p>
        </w:tc>
        <w:tc>
          <w:tcPr>
            <w:tcW w:w="4234" w:type="dxa"/>
            <w:vAlign w:val="center"/>
          </w:tcPr>
          <w:p w14:paraId="2B692FF7" w14:textId="4F56773B" w:rsidR="00ED0113" w:rsidRDefault="0049605B" w:rsidP="005E4D74">
            <w:pPr>
              <w:ind w:right="321"/>
              <w:jc w:val="both"/>
            </w:pPr>
            <w:r>
              <w:t>500÷3500 m</w:t>
            </w:r>
            <w:r w:rsidR="00B34DDC">
              <w:t xml:space="preserve"> </w:t>
            </w:r>
            <w:r>
              <w:t>Pa*s</w:t>
            </w:r>
          </w:p>
        </w:tc>
      </w:tr>
      <w:tr w:rsidR="00ED0113" w14:paraId="6A158E1E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315402D7" w14:textId="747C4BC0" w:rsidR="00ED0113" w:rsidRPr="00B34DDC" w:rsidRDefault="005E4D74" w:rsidP="005E4D74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Tirpumas vandenyje </w:t>
            </w:r>
          </w:p>
        </w:tc>
        <w:tc>
          <w:tcPr>
            <w:tcW w:w="4234" w:type="dxa"/>
            <w:vAlign w:val="center"/>
          </w:tcPr>
          <w:p w14:paraId="7EFDCFB0" w14:textId="719A4FA5" w:rsidR="00ED0113" w:rsidRDefault="005E4D74" w:rsidP="00875C38">
            <w:pPr>
              <w:ind w:right="321"/>
              <w:jc w:val="both"/>
            </w:pPr>
            <w:r>
              <w:t>Tirpus</w:t>
            </w:r>
          </w:p>
        </w:tc>
      </w:tr>
      <w:tr w:rsidR="00ED0113" w14:paraId="5D403DB7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57FA066A" w14:textId="756F2846" w:rsidR="00ED0113" w:rsidRPr="00B34DDC" w:rsidRDefault="003E225D" w:rsidP="00875C38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>Naudojimo temperatūra</w:t>
            </w:r>
          </w:p>
        </w:tc>
        <w:tc>
          <w:tcPr>
            <w:tcW w:w="4234" w:type="dxa"/>
            <w:vAlign w:val="center"/>
          </w:tcPr>
          <w:p w14:paraId="73869B67" w14:textId="77777777" w:rsidR="003E225D" w:rsidRDefault="003E225D" w:rsidP="003E225D">
            <w:pPr>
              <w:ind w:right="321"/>
              <w:jc w:val="both"/>
            </w:pPr>
            <w:r>
              <w:t>Temperatūra 6 °C÷35 °C;</w:t>
            </w:r>
          </w:p>
          <w:p w14:paraId="0E04A1A0" w14:textId="77777777" w:rsidR="003E225D" w:rsidRDefault="003E225D" w:rsidP="003E225D">
            <w:pPr>
              <w:ind w:right="321"/>
              <w:jc w:val="both"/>
            </w:pPr>
            <w:r>
              <w:t>santykinis oro drėgnumas &lt; 80 %;</w:t>
            </w:r>
          </w:p>
          <w:p w14:paraId="62B93D7B" w14:textId="77777777" w:rsidR="003E225D" w:rsidRDefault="003E225D" w:rsidP="003E225D">
            <w:pPr>
              <w:ind w:right="321"/>
              <w:jc w:val="both"/>
            </w:pPr>
            <w:r>
              <w:t>drėgmės kiekis medienoje,</w:t>
            </w:r>
          </w:p>
          <w:p w14:paraId="2DD4F177" w14:textId="4233AA0A" w:rsidR="00ED0113" w:rsidRDefault="003E225D" w:rsidP="00875C38">
            <w:pPr>
              <w:ind w:right="321"/>
              <w:jc w:val="both"/>
            </w:pPr>
            <w:r>
              <w:t>arba mat. medinis &lt; 15%.</w:t>
            </w:r>
          </w:p>
        </w:tc>
      </w:tr>
      <w:tr w:rsidR="00ED0113" w14:paraId="25CE38E7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3C2451AB" w14:textId="21BF0ABB" w:rsidR="00ED0113" w:rsidRPr="00B34DDC" w:rsidRDefault="003E225D" w:rsidP="00875C38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Išeiga </w:t>
            </w:r>
          </w:p>
        </w:tc>
        <w:tc>
          <w:tcPr>
            <w:tcW w:w="4234" w:type="dxa"/>
            <w:vAlign w:val="center"/>
          </w:tcPr>
          <w:p w14:paraId="585DE95B" w14:textId="390B73D6" w:rsidR="00ED0113" w:rsidRDefault="003E225D" w:rsidP="00875C38">
            <w:pPr>
              <w:ind w:right="321"/>
              <w:jc w:val="both"/>
            </w:pPr>
            <w:r>
              <w:t>Iki 500 g/m</w:t>
            </w:r>
            <w:r w:rsidRPr="00B34DDC">
              <w:rPr>
                <w:vertAlign w:val="superscript"/>
              </w:rPr>
              <w:t>2</w:t>
            </w:r>
            <w:r>
              <w:t xml:space="preserve"> dengiant vienu sluoksniu</w:t>
            </w:r>
          </w:p>
        </w:tc>
      </w:tr>
      <w:tr w:rsidR="00ED0113" w14:paraId="7147EDA9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29B94A7F" w14:textId="248A48F4" w:rsidR="00ED0113" w:rsidRPr="00B34DDC" w:rsidRDefault="003E225D" w:rsidP="00875C38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Sandėliavimas </w:t>
            </w:r>
          </w:p>
        </w:tc>
        <w:tc>
          <w:tcPr>
            <w:tcW w:w="4234" w:type="dxa"/>
            <w:vAlign w:val="center"/>
          </w:tcPr>
          <w:p w14:paraId="446BA93A" w14:textId="681D8703" w:rsidR="00ED0113" w:rsidRDefault="003E225D" w:rsidP="00875C38">
            <w:pPr>
              <w:ind w:right="321"/>
              <w:jc w:val="both"/>
            </w:pPr>
            <w:r>
              <w:t>Laikyti sausoje ir vėsioje vietoje</w:t>
            </w:r>
          </w:p>
        </w:tc>
      </w:tr>
      <w:tr w:rsidR="00ED0113" w14:paraId="190CE946" w14:textId="77777777" w:rsidTr="00B34DDC">
        <w:trPr>
          <w:trHeight w:val="275"/>
        </w:trPr>
        <w:tc>
          <w:tcPr>
            <w:tcW w:w="4271" w:type="dxa"/>
            <w:shd w:val="clear" w:color="auto" w:fill="00B0F0"/>
            <w:vAlign w:val="center"/>
          </w:tcPr>
          <w:p w14:paraId="67031982" w14:textId="76611049" w:rsidR="00ED0113" w:rsidRPr="00B34DDC" w:rsidRDefault="005446F3" w:rsidP="00875C38">
            <w:pPr>
              <w:ind w:right="321"/>
              <w:jc w:val="both"/>
              <w:rPr>
                <w:color w:val="FFFFFF" w:themeColor="background1"/>
              </w:rPr>
            </w:pPr>
            <w:r w:rsidRPr="00B34DDC">
              <w:rPr>
                <w:color w:val="FFFFFF" w:themeColor="background1"/>
              </w:rPr>
              <w:t xml:space="preserve">Pakuotė </w:t>
            </w:r>
          </w:p>
        </w:tc>
        <w:tc>
          <w:tcPr>
            <w:tcW w:w="4234" w:type="dxa"/>
            <w:vAlign w:val="center"/>
          </w:tcPr>
          <w:p w14:paraId="7CF689AF" w14:textId="7281F3D9" w:rsidR="00ED0113" w:rsidRDefault="005446F3" w:rsidP="00875C38">
            <w:pPr>
              <w:ind w:right="321"/>
              <w:jc w:val="both"/>
            </w:pPr>
            <w:r>
              <w:t>Kibirėlis</w:t>
            </w:r>
            <w:r w:rsidR="00B34DDC">
              <w:t xml:space="preserve"> -</w:t>
            </w:r>
            <w:r>
              <w:t xml:space="preserve"> 12,5 kg</w:t>
            </w:r>
          </w:p>
        </w:tc>
      </w:tr>
    </w:tbl>
    <w:p w14:paraId="0509F61E" w14:textId="77777777" w:rsidR="00341C6F" w:rsidRDefault="00341C6F" w:rsidP="00875C38">
      <w:pPr>
        <w:ind w:left="284" w:right="321" w:firstLine="387"/>
        <w:jc w:val="both"/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787"/>
      </w:tblGrid>
      <w:tr w:rsidR="006906A7" w:rsidRPr="006906A7" w14:paraId="3C21247E" w14:textId="77777777" w:rsidTr="006906A7">
        <w:trPr>
          <w:trHeight w:val="345"/>
        </w:trPr>
        <w:tc>
          <w:tcPr>
            <w:tcW w:w="9787" w:type="dxa"/>
            <w:shd w:val="clear" w:color="auto" w:fill="00B0F0"/>
            <w:vAlign w:val="center"/>
          </w:tcPr>
          <w:p w14:paraId="0C33D939" w14:textId="77777777" w:rsidR="006906A7" w:rsidRPr="006906A7" w:rsidRDefault="006906A7" w:rsidP="00D67C76">
            <w:pPr>
              <w:jc w:val="center"/>
              <w:rPr>
                <w:b/>
                <w:bCs/>
                <w:color w:val="FFFFFF" w:themeColor="background1"/>
              </w:rPr>
            </w:pPr>
            <w:r w:rsidRPr="006906A7">
              <w:rPr>
                <w:b/>
                <w:bCs/>
                <w:color w:val="FFFFFF" w:themeColor="background1"/>
              </w:rPr>
              <w:t>Bendrosios konstrukcijų paruošimo ir dangos dengimo rekomendacijos</w:t>
            </w:r>
          </w:p>
        </w:tc>
      </w:tr>
    </w:tbl>
    <w:p w14:paraId="3C03FCD5" w14:textId="77777777" w:rsidR="000D6338" w:rsidRDefault="000D6338" w:rsidP="00441C75">
      <w:pPr>
        <w:ind w:left="284" w:right="321" w:firstLine="387"/>
        <w:jc w:val="center"/>
      </w:pPr>
    </w:p>
    <w:p w14:paraId="3412249C" w14:textId="0A83CA07" w:rsidR="00B03BC7" w:rsidRDefault="00B03BC7" w:rsidP="00B03BC7">
      <w:pPr>
        <w:ind w:left="284" w:right="321" w:firstLine="387"/>
        <w:jc w:val="both"/>
      </w:pPr>
      <w:r>
        <w:t xml:space="preserve">Paviršiaus paruošimas: Prieš užtepant </w:t>
      </w:r>
      <w:r w:rsidR="004A75DC">
        <w:t>PROMADUR</w:t>
      </w:r>
      <w:r w:rsidR="004A75DC" w:rsidRPr="000C691D">
        <w:rPr>
          <w:vertAlign w:val="superscript"/>
        </w:rPr>
        <w:t>®</w:t>
      </w:r>
      <w:r>
        <w:t>, medinė konstrukcija turi būti kruopščiai išvalyta nuo dulkių, nešvarumų ir senų dangų likučių. Taip pat reikia įsitikinti, kad paviršius yra sausas ir tvirtas.</w:t>
      </w:r>
    </w:p>
    <w:p w14:paraId="77EF0056" w14:textId="3AC966C7" w:rsidR="00B03BC7" w:rsidRDefault="00B03BC7" w:rsidP="00B03BC7">
      <w:pPr>
        <w:ind w:left="284" w:right="321" w:firstLine="387"/>
        <w:jc w:val="both"/>
      </w:pPr>
      <w:r>
        <w:t xml:space="preserve">Dangos užtepimas: Naudojant purškimo įrangą, teptuką arba volelį, </w:t>
      </w:r>
      <w:r w:rsidR="004A75DC">
        <w:t>PROMADUR</w:t>
      </w:r>
      <w:r w:rsidR="004A75DC" w:rsidRPr="000C691D">
        <w:rPr>
          <w:vertAlign w:val="superscript"/>
        </w:rPr>
        <w:t>®</w:t>
      </w:r>
      <w:r>
        <w:t xml:space="preserve"> danga užtepama ant medinės konstrukcijos. Svarbu užtikrinti tolygų sluoksnio paskirstymą, siekiant išlaikyti vienodą apsaugą visoje konstrukcijoje. Storis turi būti tinkamai kontroliuojamas pagal gamintojo rekomendacijas.</w:t>
      </w:r>
    </w:p>
    <w:p w14:paraId="3070989E" w14:textId="09639907" w:rsidR="0094291D" w:rsidRDefault="00B03BC7" w:rsidP="000C691D">
      <w:pPr>
        <w:ind w:left="284" w:right="321" w:firstLine="387"/>
        <w:jc w:val="both"/>
      </w:pPr>
      <w:r>
        <w:t xml:space="preserve">Džiūvimas: </w:t>
      </w:r>
      <w:r w:rsidR="00C103FF">
        <w:t>k</w:t>
      </w:r>
      <w:r w:rsidR="000C691D">
        <w:t xml:space="preserve">aip ir visų kitų dangų džiūvimo laikas priklauso nuo aplinkos temperatūros ir santykinio oro drėgnumo. Esant maždaug +20 °C temperatūrai ir maždaug 65 % santykiniam oro drėgnumui, vienas sluoksnis džiūsta vieną parą. </w:t>
      </w:r>
      <w:r w:rsidR="0094291D">
        <w:t xml:space="preserve">Per šį laiką vyksta cheminė reakcija, kuri vėliau leis dangai tinkamai apsaugoti konstrukciją nuo ugnies. Jei reikia, gali būti užtepamas papildomas </w:t>
      </w:r>
      <w:r w:rsidR="0094291D">
        <w:lastRenderedPageBreak/>
        <w:t xml:space="preserve">sluoksnis, kad būtų pasiektas reikalingas dangos storis. </w:t>
      </w:r>
      <w:r w:rsidR="000C691D">
        <w:t>Išdžiūvusį PROMADUR</w:t>
      </w:r>
      <w:r w:rsidR="000C691D" w:rsidRPr="000C691D">
        <w:rPr>
          <w:vertAlign w:val="superscript"/>
        </w:rPr>
        <w:t>®</w:t>
      </w:r>
      <w:r w:rsidR="000C691D">
        <w:t xml:space="preserve"> apdorotą paviršių galima valyti sausa ir švelnia šluoste. Neplaukite vandeniu, nevalykite tirpikliais arba rūgštiniais ar šarminiais valikliais. </w:t>
      </w:r>
      <w:r w:rsidR="00DE1D16">
        <w:t>PROMADUR</w:t>
      </w:r>
      <w:r w:rsidR="00DE1D16" w:rsidRPr="00C103FF">
        <w:rPr>
          <w:vertAlign w:val="superscript"/>
        </w:rPr>
        <w:t>®</w:t>
      </w:r>
      <w:r w:rsidR="00DE1D16">
        <w:t xml:space="preserve"> </w:t>
      </w:r>
      <w:r w:rsidR="00C5014A">
        <w:t xml:space="preserve">danga </w:t>
      </w:r>
      <w:r w:rsidR="00DE1D16">
        <w:t>visiškai išdžiūv</w:t>
      </w:r>
      <w:r w:rsidR="00C5014A">
        <w:t>u</w:t>
      </w:r>
      <w:r w:rsidR="00DE1D16">
        <w:t>s</w:t>
      </w:r>
      <w:r w:rsidR="00C5014A">
        <w:t>i</w:t>
      </w:r>
      <w:r w:rsidR="00DE1D16">
        <w:t xml:space="preserve"> tampa skaidr</w:t>
      </w:r>
      <w:r w:rsidR="00C5014A">
        <w:t>i</w:t>
      </w:r>
      <w:r w:rsidR="00DE1D16">
        <w:t>, o per pirmąsias savaites po užtepimo yra jautr</w:t>
      </w:r>
      <w:r w:rsidR="00C5014A">
        <w:t>i</w:t>
      </w:r>
      <w:r w:rsidR="00DE1D16">
        <w:t xml:space="preserve"> spaudimui.</w:t>
      </w:r>
    </w:p>
    <w:p w14:paraId="6AFAFB58" w14:textId="1F97C9F6" w:rsidR="002C21F6" w:rsidRDefault="00F758E6" w:rsidP="002C21F6">
      <w:pPr>
        <w:ind w:left="284" w:right="321" w:firstLine="387"/>
        <w:jc w:val="both"/>
      </w:pPr>
      <w:r>
        <w:t>Apsauginis</w:t>
      </w:r>
      <w:r w:rsidR="002C21F6">
        <w:t xml:space="preserve"> PROMADUR</w:t>
      </w:r>
      <w:r w:rsidR="002C21F6" w:rsidRPr="00176A2E">
        <w:rPr>
          <w:vertAlign w:val="superscript"/>
        </w:rPr>
        <w:t>®</w:t>
      </w:r>
      <w:r w:rsidR="002C21F6">
        <w:t xml:space="preserve"> </w:t>
      </w:r>
      <w:r w:rsidR="00176A2E">
        <w:t xml:space="preserve">Top Coat </w:t>
      </w:r>
      <w:r w:rsidR="002C21F6">
        <w:t>sluoksnis - tai vienkomponentis, tirpiklio pagrindu pagamintas</w:t>
      </w:r>
      <w:r w:rsidR="00176A2E">
        <w:t xml:space="preserve"> </w:t>
      </w:r>
      <w:r w:rsidR="002C21F6">
        <w:t>skaidrus viršutinis sluoksnis, specialiai sukurtas atsparumui drėgmei padidinti ir mechaninėms</w:t>
      </w:r>
      <w:r w:rsidR="00176A2E">
        <w:t xml:space="preserve"> </w:t>
      </w:r>
      <w:r>
        <w:t xml:space="preserve">priešgaisrinės dangos </w:t>
      </w:r>
      <w:r w:rsidR="002C21F6">
        <w:t>PROMADUR</w:t>
      </w:r>
      <w:r w:rsidR="002C21F6" w:rsidRPr="00176A2E">
        <w:rPr>
          <w:vertAlign w:val="superscript"/>
        </w:rPr>
        <w:t>®</w:t>
      </w:r>
      <w:r w:rsidR="002C21F6">
        <w:t xml:space="preserve"> savybėms pagerinti, nesumažinant apsaugotų medinių konstrukcijų atsparumo</w:t>
      </w:r>
      <w:r w:rsidR="00176A2E">
        <w:t xml:space="preserve"> </w:t>
      </w:r>
      <w:r w:rsidR="002C21F6">
        <w:t>ugniai.</w:t>
      </w:r>
      <w:r w:rsidR="00176A2E">
        <w:t xml:space="preserve"> </w:t>
      </w:r>
      <w:r w:rsidR="002C21F6">
        <w:t xml:space="preserve">Viršutinio </w:t>
      </w:r>
      <w:r w:rsidR="00176A2E">
        <w:t>apsauginės dangos</w:t>
      </w:r>
      <w:r w:rsidR="002C21F6">
        <w:t xml:space="preserve"> sluoksnio sudėtyje nėra kvapiųjų medžiagų, jis greitai džiūsta ir labai</w:t>
      </w:r>
      <w:r w:rsidR="00176A2E">
        <w:t xml:space="preserve"> </w:t>
      </w:r>
      <w:r w:rsidR="002C21F6">
        <w:t xml:space="preserve">lengvai naudojamas. </w:t>
      </w:r>
      <w:r>
        <w:t>Apsauginė danga</w:t>
      </w:r>
      <w:r w:rsidR="002C21F6">
        <w:t xml:space="preserve"> neturi neigiamo poveikio</w:t>
      </w:r>
      <w:r w:rsidR="00176A2E">
        <w:t xml:space="preserve"> </w:t>
      </w:r>
      <w:r w:rsidR="002C21F6">
        <w:t>išsiplečiančių dangų plėtimuisi.</w:t>
      </w:r>
    </w:p>
    <w:p w14:paraId="4071AC78" w14:textId="0CE72464" w:rsidR="00B52FA8" w:rsidRDefault="005E5630" w:rsidP="00410D8E">
      <w:pPr>
        <w:ind w:left="284" w:right="321" w:firstLine="387"/>
        <w:jc w:val="both"/>
      </w:pPr>
      <w:r>
        <w:t>Suderinamumas su kitomis dangomis</w:t>
      </w:r>
      <w:r w:rsidR="0058274B">
        <w:t xml:space="preserve">. </w:t>
      </w:r>
      <w:r w:rsidR="00695540">
        <w:t>Priešgaisrinė danga PROMADUR</w:t>
      </w:r>
      <w:r w:rsidR="00695540" w:rsidRPr="00176A2E">
        <w:rPr>
          <w:vertAlign w:val="superscript"/>
        </w:rPr>
        <w:t>®</w:t>
      </w:r>
      <w:r w:rsidR="00695540">
        <w:t xml:space="preserve"> - suderinama su </w:t>
      </w:r>
      <w:r w:rsidR="00E92E8C">
        <w:t>šiais išvardintais</w:t>
      </w:r>
      <w:r w:rsidR="00695540">
        <w:t xml:space="preserve"> medienos apdorojimo preparatais</w:t>
      </w:r>
      <w:r w:rsidR="001A6EDA">
        <w:t>:</w:t>
      </w:r>
    </w:p>
    <w:p w14:paraId="53B79702" w14:textId="34ECF45E" w:rsidR="00B52FA8" w:rsidRDefault="0073578B" w:rsidP="00B52FA8">
      <w:pPr>
        <w:pStyle w:val="Sraopastraipa"/>
        <w:numPr>
          <w:ilvl w:val="0"/>
          <w:numId w:val="7"/>
        </w:numPr>
        <w:ind w:right="321"/>
        <w:jc w:val="both"/>
      </w:pPr>
      <w:r>
        <w:t xml:space="preserve">„Altax“ </w:t>
      </w:r>
      <w:r w:rsidR="00901427">
        <w:t>–</w:t>
      </w:r>
      <w:r>
        <w:t xml:space="preserve"> </w:t>
      </w:r>
      <w:r w:rsidR="00901427">
        <w:t>giliai įsiskverbiantis medienos gruntavimo impregnantas</w:t>
      </w:r>
      <w:r w:rsidR="00E92E8C">
        <w:t>;</w:t>
      </w:r>
    </w:p>
    <w:p w14:paraId="0BFF3E61" w14:textId="7E295CA1" w:rsidR="00901427" w:rsidRDefault="00901427" w:rsidP="00B52FA8">
      <w:pPr>
        <w:pStyle w:val="Sraopastraipa"/>
        <w:numPr>
          <w:ilvl w:val="0"/>
          <w:numId w:val="7"/>
        </w:numPr>
        <w:ind w:right="321"/>
        <w:jc w:val="both"/>
      </w:pPr>
      <w:r>
        <w:t xml:space="preserve">„Fobos“ </w:t>
      </w:r>
      <w:r w:rsidR="006C5451">
        <w:t>–</w:t>
      </w:r>
      <w:r>
        <w:t xml:space="preserve"> </w:t>
      </w:r>
      <w:r w:rsidR="006C5451">
        <w:t xml:space="preserve">daugiafunkcinis medienos impregnantas, kuris </w:t>
      </w:r>
      <w:r w:rsidR="00954F47">
        <w:t>yra neorganinių druskų mišinys su nedideliu</w:t>
      </w:r>
      <w:r w:rsidR="00926C1D">
        <w:t xml:space="preserve"> organinių druskų priedu</w:t>
      </w:r>
      <w:r w:rsidR="00E92E8C">
        <w:t>;</w:t>
      </w:r>
    </w:p>
    <w:p w14:paraId="08FAF6B7" w14:textId="360E3C7C" w:rsidR="00926C1D" w:rsidRDefault="00926C1D" w:rsidP="00B52FA8">
      <w:pPr>
        <w:pStyle w:val="Sraopastraipa"/>
        <w:numPr>
          <w:ilvl w:val="0"/>
          <w:numId w:val="7"/>
        </w:numPr>
        <w:ind w:right="321"/>
        <w:jc w:val="both"/>
      </w:pPr>
      <w:r>
        <w:t>„</w:t>
      </w:r>
      <w:r w:rsidR="00F005B3">
        <w:t>Unidecor“ – akrilinis greitai džiūstantis apsauginis-dekoratyvinis</w:t>
      </w:r>
      <w:r w:rsidR="00CB0E18">
        <w:t xml:space="preserve"> medienos impregnantas</w:t>
      </w:r>
      <w:r w:rsidR="00E92E8C">
        <w:t>;</w:t>
      </w:r>
    </w:p>
    <w:p w14:paraId="2F96E366" w14:textId="54E5E4FA" w:rsidR="00CB0E18" w:rsidRDefault="00CB0E18" w:rsidP="00B52FA8">
      <w:pPr>
        <w:pStyle w:val="Sraopastraipa"/>
        <w:numPr>
          <w:ilvl w:val="0"/>
          <w:numId w:val="7"/>
        </w:numPr>
        <w:ind w:right="321"/>
        <w:jc w:val="both"/>
      </w:pPr>
      <w:r>
        <w:t>„</w:t>
      </w:r>
      <w:r w:rsidR="00496E97">
        <w:t>S</w:t>
      </w:r>
      <w:r>
        <w:t>adolin classic“ – tirpiklio pagrindu</w:t>
      </w:r>
      <w:r w:rsidR="001522B5">
        <w:t xml:space="preserve"> pagamintas dengiantis impregnantas</w:t>
      </w:r>
      <w:r w:rsidR="00E92E8C">
        <w:t>;</w:t>
      </w:r>
    </w:p>
    <w:p w14:paraId="4E41B96D" w14:textId="71CDDCD0" w:rsidR="001522B5" w:rsidRDefault="00496E97" w:rsidP="00B52FA8">
      <w:pPr>
        <w:pStyle w:val="Sraopastraipa"/>
        <w:numPr>
          <w:ilvl w:val="0"/>
          <w:numId w:val="7"/>
        </w:numPr>
        <w:ind w:right="321"/>
        <w:jc w:val="both"/>
      </w:pPr>
      <w:r>
        <w:t>„Sadolin“ - v</w:t>
      </w:r>
      <w:r w:rsidR="001522B5">
        <w:t>andeniu skiedžiami dekoratyviniai</w:t>
      </w:r>
      <w:r>
        <w:t xml:space="preserve"> medienos dažai</w:t>
      </w:r>
      <w:r w:rsidR="00E92E8C">
        <w:t>;</w:t>
      </w:r>
    </w:p>
    <w:p w14:paraId="6CF36876" w14:textId="31615AAD" w:rsidR="005E5630" w:rsidRDefault="00695540" w:rsidP="00E92E8C">
      <w:pPr>
        <w:ind w:left="284" w:right="321" w:firstLine="387"/>
        <w:jc w:val="both"/>
      </w:pPr>
      <w:r>
        <w:t xml:space="preserve">Siekiant užtikrinti tinkamą </w:t>
      </w:r>
      <w:r w:rsidR="00DC21FA">
        <w:t>priešgaisrinės dangos</w:t>
      </w:r>
      <w:r>
        <w:t xml:space="preserve"> veikimą, rekomenduojama naudoti tik tuos produktus, kurie yra pritaikyti priešgaisrinėms sistemoms arba yra patvirtinti suderinamumo bandymais. Prieš dengiant </w:t>
      </w:r>
      <w:r w:rsidR="002C60B0">
        <w:t>PROMADUR</w:t>
      </w:r>
      <w:r w:rsidR="002C60B0" w:rsidRPr="00176A2E">
        <w:rPr>
          <w:vertAlign w:val="superscript"/>
        </w:rPr>
        <w:t>®</w:t>
      </w:r>
      <w:r>
        <w:t>, būtina įsitikinti, kad apatiniai</w:t>
      </w:r>
      <w:r w:rsidR="00F45395">
        <w:t xml:space="preserve"> grunt</w:t>
      </w:r>
      <w:r w:rsidR="005B257A">
        <w:t>o, impregnanto ar dažų</w:t>
      </w:r>
      <w:r>
        <w:t xml:space="preserve"> sluoksniai yra pilnai išdžiūvę ir nepažeidžia priešgaisrinės dangos funkcionalumo. </w:t>
      </w:r>
    </w:p>
    <w:p w14:paraId="57EF276A" w14:textId="29D50A28" w:rsidR="00DA6412" w:rsidRDefault="00B03BC7" w:rsidP="00410D8E">
      <w:pPr>
        <w:ind w:left="284" w:right="321" w:firstLine="387"/>
        <w:jc w:val="both"/>
      </w:pPr>
      <w:r>
        <w:t xml:space="preserve">Apsauginių sluoksnių formavimas gaisro metu: Gaisro atveju, </w:t>
      </w:r>
      <w:r w:rsidR="00F20AF2">
        <w:t>PROMADUR</w:t>
      </w:r>
      <w:r w:rsidR="00F20AF2" w:rsidRPr="00176A2E">
        <w:rPr>
          <w:vertAlign w:val="superscript"/>
        </w:rPr>
        <w:t>®</w:t>
      </w:r>
      <w:r>
        <w:t xml:space="preserve"> danga pradeda putoti ir formuoti izoliacinį sluoksnį, kuris sulėtina šilumos prasiskverbimą į medieną. Dėl šios putojančios reakcijos susidaro „</w:t>
      </w:r>
      <w:proofErr w:type="spellStart"/>
      <w:r>
        <w:t>char</w:t>
      </w:r>
      <w:proofErr w:type="spellEnd"/>
      <w:r>
        <w:t>“ sluoksnis, kuris efektyviai stabdo</w:t>
      </w:r>
      <w:r w:rsidR="00F87AD4">
        <w:t xml:space="preserve">, </w:t>
      </w:r>
      <w:r>
        <w:t>ugnies plitimą</w:t>
      </w:r>
      <w:r w:rsidR="00410D8E">
        <w:t>.</w:t>
      </w:r>
    </w:p>
    <w:p w14:paraId="0D4E8D77" w14:textId="77777777" w:rsidR="00913E28" w:rsidRDefault="00913E28" w:rsidP="00B03BC7">
      <w:pPr>
        <w:ind w:left="284" w:right="321" w:firstLine="387"/>
        <w:jc w:val="both"/>
      </w:pPr>
    </w:p>
    <w:tbl>
      <w:tblPr>
        <w:tblStyle w:val="Lentelstinklelis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972"/>
        <w:gridCol w:w="1984"/>
        <w:gridCol w:w="2410"/>
        <w:gridCol w:w="2410"/>
      </w:tblGrid>
      <w:tr w:rsidR="00914CEB" w14:paraId="1AF0AABA" w14:textId="77777777" w:rsidTr="00B3280A">
        <w:trPr>
          <w:trHeight w:val="444"/>
        </w:trPr>
        <w:tc>
          <w:tcPr>
            <w:tcW w:w="9776" w:type="dxa"/>
            <w:gridSpan w:val="4"/>
            <w:shd w:val="clear" w:color="auto" w:fill="00B0F0"/>
            <w:vAlign w:val="center"/>
          </w:tcPr>
          <w:p w14:paraId="0309683D" w14:textId="0363139B" w:rsidR="00914CEB" w:rsidRPr="00BA3097" w:rsidRDefault="00914CEB" w:rsidP="00477B3E">
            <w:pPr>
              <w:jc w:val="center"/>
              <w:rPr>
                <w:b/>
                <w:bCs/>
                <w:color w:val="FFFFFF" w:themeColor="background1"/>
              </w:rPr>
            </w:pPr>
            <w:r w:rsidRPr="00BA3097">
              <w:rPr>
                <w:b/>
                <w:bCs/>
                <w:color w:val="FFFFFF" w:themeColor="background1"/>
              </w:rPr>
              <w:t>PRIVALOMIEJI SAUGOS REIKALAVIMAI KURIUOS ATITINKA PRODUKTAS</w:t>
            </w:r>
          </w:p>
        </w:tc>
      </w:tr>
      <w:tr w:rsidR="00BA3097" w:rsidRPr="00BA3097" w14:paraId="1B2A34AA" w14:textId="77777777" w:rsidTr="00B3280A">
        <w:trPr>
          <w:trHeight w:val="283"/>
        </w:trPr>
        <w:tc>
          <w:tcPr>
            <w:tcW w:w="2972" w:type="dxa"/>
            <w:shd w:val="clear" w:color="auto" w:fill="00B0F0"/>
            <w:vAlign w:val="center"/>
          </w:tcPr>
          <w:p w14:paraId="4CAE867A" w14:textId="56AF15C9" w:rsidR="00421638" w:rsidRPr="000F61F9" w:rsidRDefault="009936CE" w:rsidP="00A1091F">
            <w:pPr>
              <w:ind w:right="-104"/>
              <w:jc w:val="center"/>
              <w:rPr>
                <w:color w:val="FFFFFF" w:themeColor="background1"/>
              </w:rPr>
            </w:pPr>
            <w:r w:rsidRPr="000F61F9">
              <w:rPr>
                <w:color w:val="FFFFFF" w:themeColor="background1"/>
              </w:rPr>
              <w:t>Apsaugomi elementai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14970095" w14:textId="383E130C" w:rsidR="00421638" w:rsidRPr="000F61F9" w:rsidRDefault="00BF39E3" w:rsidP="007D4CCE">
            <w:pPr>
              <w:ind w:right="35"/>
              <w:jc w:val="center"/>
              <w:rPr>
                <w:color w:val="FFFFFF" w:themeColor="background1"/>
              </w:rPr>
            </w:pPr>
            <w:r w:rsidRPr="000F61F9">
              <w:rPr>
                <w:color w:val="FFFFFF" w:themeColor="background1"/>
              </w:rPr>
              <w:t xml:space="preserve">Apsauginė paviršinė </w:t>
            </w:r>
            <w:r w:rsidR="00AB2430" w:rsidRPr="000F61F9">
              <w:rPr>
                <w:color w:val="FFFFFF" w:themeColor="background1"/>
              </w:rPr>
              <w:t xml:space="preserve">danga </w:t>
            </w:r>
            <w:r w:rsidRPr="000F61F9">
              <w:rPr>
                <w:color w:val="FFFFFF" w:themeColor="background1"/>
              </w:rPr>
              <w:t>PROMADUR</w:t>
            </w:r>
            <w:r w:rsidRPr="000F61F9">
              <w:rPr>
                <w:color w:val="FFFFFF" w:themeColor="background1"/>
                <w:vertAlign w:val="superscript"/>
              </w:rPr>
              <w:t>®</w:t>
            </w:r>
            <w:r w:rsidR="00AB2430" w:rsidRPr="000F61F9">
              <w:rPr>
                <w:color w:val="FFFFFF" w:themeColor="background1"/>
                <w:vertAlign w:val="superscript"/>
              </w:rPr>
              <w:t xml:space="preserve"> </w:t>
            </w:r>
            <w:r w:rsidR="00AB2430" w:rsidRPr="000F61F9">
              <w:rPr>
                <w:color w:val="FFFFFF" w:themeColor="background1"/>
              </w:rPr>
              <w:t>Top Coat išeiga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74DA1993" w14:textId="5ECE4E92" w:rsidR="00421638" w:rsidRPr="000F61F9" w:rsidRDefault="00B63E57" w:rsidP="007D4CCE">
            <w:pPr>
              <w:ind w:right="32"/>
              <w:jc w:val="center"/>
              <w:rPr>
                <w:color w:val="FFFFFF" w:themeColor="background1"/>
              </w:rPr>
            </w:pPr>
            <w:r w:rsidRPr="000F61F9">
              <w:rPr>
                <w:color w:val="FFFFFF" w:themeColor="background1"/>
              </w:rPr>
              <w:t>Minimali priešgaisrinės dangos PROMADUR</w:t>
            </w:r>
            <w:r w:rsidRPr="000F61F9">
              <w:rPr>
                <w:color w:val="FFFFFF" w:themeColor="background1"/>
                <w:vertAlign w:val="superscript"/>
              </w:rPr>
              <w:t>®</w:t>
            </w:r>
            <w:r w:rsidRPr="000F61F9">
              <w:rPr>
                <w:color w:val="FFFFFF" w:themeColor="background1"/>
              </w:rPr>
              <w:t xml:space="preserve"> išeiga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5E69C7FE" w14:textId="2A428478" w:rsidR="00421638" w:rsidRPr="000F61F9" w:rsidRDefault="00421638" w:rsidP="00B34DDC">
            <w:pPr>
              <w:jc w:val="center"/>
              <w:rPr>
                <w:color w:val="FFFFFF" w:themeColor="background1"/>
              </w:rPr>
            </w:pPr>
            <w:r w:rsidRPr="000F61F9">
              <w:rPr>
                <w:color w:val="FFFFFF" w:themeColor="background1"/>
              </w:rPr>
              <w:t>Medin</w:t>
            </w:r>
            <w:r w:rsidR="00B3280A">
              <w:rPr>
                <w:color w:val="FFFFFF" w:themeColor="background1"/>
              </w:rPr>
              <w:t xml:space="preserve">ių </w:t>
            </w:r>
            <w:r w:rsidRPr="000F61F9">
              <w:rPr>
                <w:color w:val="FFFFFF" w:themeColor="background1"/>
              </w:rPr>
              <w:t>konstrukcij</w:t>
            </w:r>
            <w:r w:rsidR="00B3280A">
              <w:rPr>
                <w:color w:val="FFFFFF" w:themeColor="background1"/>
              </w:rPr>
              <w:t xml:space="preserve">ų </w:t>
            </w:r>
            <w:r w:rsidRPr="000F61F9">
              <w:rPr>
                <w:color w:val="FFFFFF" w:themeColor="background1"/>
              </w:rPr>
              <w:t>užtikrinamos atsparumo ugniai arba degumo klasės</w:t>
            </w:r>
          </w:p>
        </w:tc>
      </w:tr>
      <w:tr w:rsidR="00BA3097" w14:paraId="7C818816" w14:textId="77777777" w:rsidTr="00B3280A">
        <w:trPr>
          <w:trHeight w:val="283"/>
        </w:trPr>
        <w:tc>
          <w:tcPr>
            <w:tcW w:w="2972" w:type="dxa"/>
            <w:vAlign w:val="center"/>
          </w:tcPr>
          <w:p w14:paraId="1DD26EC0" w14:textId="18E635F0" w:rsidR="00BA3097" w:rsidRPr="000F61F9" w:rsidRDefault="00BA3097" w:rsidP="00BA3097">
            <w:pPr>
              <w:ind w:right="34"/>
              <w:jc w:val="center"/>
            </w:pPr>
            <w:r w:rsidRPr="000F61F9">
              <w:t>Statybinė medžio masyvo mediena, medžio drožlių plokštės ir fanera (ne plonesnė kaip 12 mm),</w:t>
            </w:r>
          </w:p>
        </w:tc>
        <w:tc>
          <w:tcPr>
            <w:tcW w:w="1984" w:type="dxa"/>
            <w:vMerge w:val="restart"/>
            <w:vAlign w:val="center"/>
          </w:tcPr>
          <w:p w14:paraId="15D7F452" w14:textId="3D4A94AC" w:rsidR="00BA3097" w:rsidRPr="000F61F9" w:rsidRDefault="00BA3097" w:rsidP="00BA3097">
            <w:pPr>
              <w:ind w:right="35"/>
              <w:jc w:val="center"/>
              <w:rPr>
                <w:lang w:val="en-US"/>
              </w:rPr>
            </w:pPr>
            <w:r w:rsidRPr="000F61F9">
              <w:rPr>
                <w:lang w:val="en-US"/>
              </w:rPr>
              <w:t>100</w:t>
            </w:r>
            <w:r w:rsidRPr="000F61F9">
              <w:t xml:space="preserve"> g/m</w:t>
            </w:r>
            <w:r w:rsidRPr="000F61F9">
              <w:rPr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403F3650" w14:textId="47C1A032" w:rsidR="00BA3097" w:rsidRPr="000F61F9" w:rsidRDefault="00BA3097" w:rsidP="003575D5">
            <w:pPr>
              <w:ind w:right="-108"/>
              <w:jc w:val="center"/>
            </w:pPr>
            <w:r w:rsidRPr="000F61F9">
              <w:t>300 g/m</w:t>
            </w:r>
            <w:r w:rsidRPr="000F61F9">
              <w:rPr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2CEF89AD" w14:textId="760DCFAB" w:rsidR="00BA3097" w:rsidRPr="000F61F9" w:rsidRDefault="00BA3097" w:rsidP="003575D5">
            <w:pPr>
              <w:ind w:right="37"/>
              <w:jc w:val="center"/>
              <w:rPr>
                <w:b/>
                <w:bCs/>
              </w:rPr>
            </w:pPr>
            <w:r w:rsidRPr="000F61F9">
              <w:rPr>
                <w:rFonts w:ascii="TimesNewRomanPSMT" w:hAnsi="TimesNewRomanPSMT" w:cs="TimesNewRomanPSMT"/>
                <w:b/>
                <w:bCs/>
                <w:lang w:eastAsia="en-US"/>
              </w:rPr>
              <w:t>B-s1, d0</w:t>
            </w:r>
          </w:p>
        </w:tc>
      </w:tr>
      <w:tr w:rsidR="00BA3097" w14:paraId="3D9D2C0C" w14:textId="77777777" w:rsidTr="00B3280A">
        <w:trPr>
          <w:trHeight w:val="495"/>
        </w:trPr>
        <w:tc>
          <w:tcPr>
            <w:tcW w:w="2972" w:type="dxa"/>
            <w:vMerge w:val="restart"/>
            <w:vAlign w:val="center"/>
          </w:tcPr>
          <w:p w14:paraId="104EB6D2" w14:textId="44E3A07F" w:rsidR="00BA3097" w:rsidRPr="000F61F9" w:rsidRDefault="00BA3097" w:rsidP="00BA3097">
            <w:pPr>
              <w:jc w:val="center"/>
            </w:pPr>
            <w:r w:rsidRPr="000F61F9">
              <w:t>Klijuotosios sluoksninės medienos sija, 120×120 mm skerspjūvio</w:t>
            </w:r>
            <w:r w:rsidR="00DE1D16">
              <w:t>*</w:t>
            </w:r>
          </w:p>
        </w:tc>
        <w:tc>
          <w:tcPr>
            <w:tcW w:w="1984" w:type="dxa"/>
            <w:vMerge/>
            <w:vAlign w:val="center"/>
          </w:tcPr>
          <w:p w14:paraId="589E25A7" w14:textId="7F0CEFDD" w:rsidR="00BA3097" w:rsidRPr="000F61F9" w:rsidRDefault="00BA3097" w:rsidP="007D4CC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DCDB9B7" w14:textId="5855B5F5" w:rsidR="00BA3097" w:rsidRPr="000F61F9" w:rsidRDefault="00BA3097" w:rsidP="003575D5">
            <w:pPr>
              <w:jc w:val="center"/>
            </w:pPr>
            <w:r w:rsidRPr="000F61F9">
              <w:t>506 g/m</w:t>
            </w:r>
            <w:r w:rsidRPr="000F61F9">
              <w:rPr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36C84F76" w14:textId="01DFA2FA" w:rsidR="00BA3097" w:rsidRPr="000F61F9" w:rsidRDefault="00BA3097" w:rsidP="003575D5">
            <w:pPr>
              <w:jc w:val="center"/>
              <w:rPr>
                <w:b/>
                <w:bCs/>
              </w:rPr>
            </w:pPr>
            <w:r w:rsidRPr="000F61F9">
              <w:rPr>
                <w:b/>
                <w:bCs/>
              </w:rPr>
              <w:t>R30</w:t>
            </w:r>
          </w:p>
        </w:tc>
      </w:tr>
      <w:tr w:rsidR="00BA3097" w14:paraId="61C653C1" w14:textId="77777777" w:rsidTr="00B3280A">
        <w:trPr>
          <w:trHeight w:val="486"/>
        </w:trPr>
        <w:tc>
          <w:tcPr>
            <w:tcW w:w="2972" w:type="dxa"/>
            <w:vMerge/>
            <w:vAlign w:val="center"/>
          </w:tcPr>
          <w:p w14:paraId="51AF9B74" w14:textId="24A69F22" w:rsidR="00BA3097" w:rsidRPr="00914CEB" w:rsidRDefault="00BA3097" w:rsidP="00460276">
            <w:pPr>
              <w:ind w:right="32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AE1A0B6" w14:textId="40585C90" w:rsidR="00BA3097" w:rsidRPr="000F61F9" w:rsidRDefault="00BA3097" w:rsidP="007D4CC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20CAC22" w14:textId="1CAEF803" w:rsidR="00BA3097" w:rsidRPr="000F61F9" w:rsidRDefault="00BA3097" w:rsidP="003575D5">
            <w:pPr>
              <w:ind w:right="-108"/>
              <w:jc w:val="center"/>
            </w:pPr>
            <w:r w:rsidRPr="000F61F9">
              <w:t>1119 g/m</w:t>
            </w:r>
            <w:r w:rsidRPr="000F61F9">
              <w:rPr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58EB9BD6" w14:textId="126A5E86" w:rsidR="00BA3097" w:rsidRPr="000F61F9" w:rsidRDefault="00BA3097" w:rsidP="003575D5">
            <w:pPr>
              <w:jc w:val="center"/>
              <w:rPr>
                <w:b/>
                <w:bCs/>
              </w:rPr>
            </w:pPr>
            <w:r w:rsidRPr="000F61F9">
              <w:rPr>
                <w:b/>
                <w:bCs/>
              </w:rPr>
              <w:t>R45</w:t>
            </w:r>
          </w:p>
        </w:tc>
      </w:tr>
    </w:tbl>
    <w:p w14:paraId="2293BEA6" w14:textId="71364F44" w:rsidR="00913E28" w:rsidRDefault="00913E28" w:rsidP="00B03BC7">
      <w:pPr>
        <w:ind w:left="284" w:right="321" w:firstLine="387"/>
        <w:jc w:val="both"/>
      </w:pPr>
    </w:p>
    <w:p w14:paraId="65CE6156" w14:textId="4FB7F7C1" w:rsidR="00DE1D16" w:rsidRDefault="00DC6C48" w:rsidP="00DC6C48">
      <w:pPr>
        <w:ind w:left="284" w:right="321" w:firstLine="387"/>
        <w:jc w:val="both"/>
      </w:pPr>
      <w:r>
        <w:t xml:space="preserve">Pastaba: </w:t>
      </w:r>
      <w:r w:rsidR="00DE1D16">
        <w:rPr>
          <w:lang w:val="en-US"/>
        </w:rPr>
        <w:t>*</w:t>
      </w:r>
      <w:r w:rsidR="00DE1D16">
        <w:t>Pilnai tinka matmuo pvz. 100</w:t>
      </w:r>
      <w:r w:rsidR="00477B3E" w:rsidRPr="000F61F9">
        <w:t>×</w:t>
      </w:r>
      <w:r w:rsidR="00DE1D16">
        <w:t>150 mm ar panašūs, nes šiuo atveju svarbu ne konkretūs matmenys, o skerspjūvio plotas, kuris, apskaičiavus, turi atitikti išbandytą 120</w:t>
      </w:r>
      <w:r w:rsidR="00477B3E" w:rsidRPr="000F61F9">
        <w:t>×</w:t>
      </w:r>
      <w:r w:rsidR="00DE1D16">
        <w:t>120 mm skerspjūvį.</w:t>
      </w:r>
    </w:p>
    <w:p w14:paraId="657F674F" w14:textId="26DCFA33" w:rsidR="00746D71" w:rsidRDefault="00273FB6" w:rsidP="00273FB6">
      <w:pPr>
        <w:autoSpaceDE w:val="0"/>
        <w:autoSpaceDN w:val="0"/>
        <w:adjustRightInd w:val="0"/>
        <w:ind w:left="720" w:firstLine="720"/>
      </w:pPr>
      <w:r>
        <w:t>**</w:t>
      </w:r>
      <w:r w:rsidRPr="00273FB6">
        <w:rPr>
          <w:rFonts w:ascii="TimesNewRomanPSMT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eastAsia="en-US"/>
        </w:rPr>
        <w:t>Bandymo rezultatai, susiję su priešgaisrinės saugos sistema, negali būti taikomi kitoms klasėms nei WPCA, WPNN, WPCS, WPSM ar WLAD pagal EN 14081-1 standartą.</w:t>
      </w:r>
    </w:p>
    <w:p w14:paraId="021581A5" w14:textId="77777777" w:rsidR="00DE1D16" w:rsidRDefault="00DE1D16" w:rsidP="00DC6C48">
      <w:pPr>
        <w:ind w:left="284" w:right="321" w:firstLine="387"/>
        <w:jc w:val="both"/>
      </w:pPr>
    </w:p>
    <w:p w14:paraId="34EA5596" w14:textId="77777777" w:rsidR="002C5A59" w:rsidRPr="007246B0" w:rsidRDefault="002C5A59" w:rsidP="002C5A59">
      <w:pPr>
        <w:ind w:left="180" w:right="126"/>
        <w:jc w:val="center"/>
        <w:rPr>
          <w:sz w:val="20"/>
          <w:szCs w:val="20"/>
        </w:rPr>
      </w:pPr>
      <w:r w:rsidRPr="007246B0">
        <w:rPr>
          <w:b/>
          <w:sz w:val="20"/>
          <w:szCs w:val="20"/>
        </w:rPr>
        <w:t>SĄNAUDŲ ŽINIARAŠTIS</w:t>
      </w:r>
    </w:p>
    <w:p w14:paraId="1CE23170" w14:textId="77777777" w:rsidR="002C5A59" w:rsidRPr="007246B0" w:rsidRDefault="002C5A59" w:rsidP="002C5A59">
      <w:pPr>
        <w:ind w:left="180" w:right="126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232"/>
        <w:gridCol w:w="1985"/>
        <w:gridCol w:w="803"/>
        <w:gridCol w:w="900"/>
        <w:gridCol w:w="1397"/>
      </w:tblGrid>
      <w:tr w:rsidR="002C5A59" w:rsidRPr="007246B0" w14:paraId="0F44A861" w14:textId="77777777" w:rsidTr="002C60B0"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C8F5647" w14:textId="77777777" w:rsidR="002C5A59" w:rsidRPr="007246B0" w:rsidRDefault="002C5A59" w:rsidP="00AD70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246B0">
              <w:rPr>
                <w:b/>
                <w:sz w:val="20"/>
                <w:szCs w:val="20"/>
              </w:rPr>
              <w:t xml:space="preserve">Pozicija </w:t>
            </w:r>
            <w:proofErr w:type="spellStart"/>
            <w:r w:rsidRPr="007246B0">
              <w:rPr>
                <w:b/>
                <w:sz w:val="20"/>
                <w:szCs w:val="20"/>
              </w:rPr>
              <w:t>Eil.Nr</w:t>
            </w:r>
            <w:proofErr w:type="spellEnd"/>
            <w:r w:rsidRPr="007246B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32" w:type="dxa"/>
            <w:shd w:val="clear" w:color="auto" w:fill="D9D9D9" w:themeFill="background1" w:themeFillShade="D9"/>
            <w:vAlign w:val="center"/>
          </w:tcPr>
          <w:p w14:paraId="11EDAB4D" w14:textId="77777777" w:rsidR="002C5A59" w:rsidRPr="007246B0" w:rsidRDefault="002C5A59" w:rsidP="00AD7028">
            <w:pPr>
              <w:pStyle w:val="Antrat4"/>
              <w:spacing w:line="360" w:lineRule="auto"/>
              <w:rPr>
                <w:sz w:val="20"/>
                <w:szCs w:val="20"/>
              </w:rPr>
            </w:pPr>
            <w:r w:rsidRPr="007246B0">
              <w:rPr>
                <w:sz w:val="20"/>
                <w:szCs w:val="20"/>
              </w:rPr>
              <w:t xml:space="preserve">Pavadinimas, techninės </w:t>
            </w:r>
            <w:smartTag w:uri="schemas-tilde-lt/tildestengine" w:element="templates">
              <w:smartTagPr>
                <w:attr w:name="baseform" w:val="charakteristik|a"/>
                <w:attr w:name="id" w:val="-1"/>
                <w:attr w:name="text" w:val="charakteristikos"/>
              </w:smartTagPr>
              <w:r w:rsidRPr="007246B0">
                <w:rPr>
                  <w:sz w:val="20"/>
                  <w:szCs w:val="20"/>
                </w:rPr>
                <w:t>charakteristikos</w:t>
              </w:r>
            </w:smartTag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D163B7" w14:textId="77777777" w:rsidR="002C5A59" w:rsidRPr="007246B0" w:rsidRDefault="002C5A59" w:rsidP="00AD7028">
            <w:pPr>
              <w:pStyle w:val="numeracija"/>
              <w:rPr>
                <w:bCs w:val="0"/>
                <w:sz w:val="20"/>
                <w:szCs w:val="20"/>
              </w:rPr>
            </w:pPr>
            <w:r w:rsidRPr="007246B0">
              <w:rPr>
                <w:bCs w:val="0"/>
                <w:sz w:val="20"/>
                <w:szCs w:val="20"/>
              </w:rPr>
              <w:t>Nuorodos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CEB4CE8" w14:textId="77777777" w:rsidR="002C5A59" w:rsidRPr="007246B0" w:rsidRDefault="002C5A59" w:rsidP="00AD70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246B0">
              <w:rPr>
                <w:b/>
                <w:sz w:val="20"/>
                <w:szCs w:val="20"/>
              </w:rPr>
              <w:t>Mato vnt.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9F2298F" w14:textId="77777777" w:rsidR="002C5A59" w:rsidRPr="007246B0" w:rsidRDefault="002C5A59" w:rsidP="00AD70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246B0">
              <w:rPr>
                <w:b/>
                <w:sz w:val="20"/>
                <w:szCs w:val="20"/>
              </w:rPr>
              <w:t>Kiekis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3A314584" w14:textId="77777777" w:rsidR="002C5A59" w:rsidRPr="007246B0" w:rsidRDefault="002C5A59" w:rsidP="00AD702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246B0">
              <w:rPr>
                <w:b/>
                <w:sz w:val="20"/>
                <w:szCs w:val="20"/>
              </w:rPr>
              <w:t>Papildomi duomenys</w:t>
            </w:r>
          </w:p>
        </w:tc>
      </w:tr>
      <w:tr w:rsidR="002C5A59" w:rsidRPr="007246B0" w14:paraId="74BC98BE" w14:textId="77777777" w:rsidTr="002C60B0">
        <w:trPr>
          <w:trHeight w:val="196"/>
        </w:trPr>
        <w:tc>
          <w:tcPr>
            <w:tcW w:w="900" w:type="dxa"/>
            <w:vAlign w:val="center"/>
          </w:tcPr>
          <w:p w14:paraId="57FC5965" w14:textId="77777777" w:rsidR="002C5A59" w:rsidRPr="007246B0" w:rsidRDefault="002C5A59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14:paraId="06FE4E76" w14:textId="7D1662A1" w:rsidR="002C5A59" w:rsidRPr="007246B0" w:rsidRDefault="000B3A4D" w:rsidP="00AD70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</w:t>
            </w:r>
            <w:r w:rsidR="001B46CF">
              <w:rPr>
                <w:sz w:val="20"/>
                <w:szCs w:val="20"/>
              </w:rPr>
              <w:t>yje esančių</w:t>
            </w:r>
            <w:r>
              <w:rPr>
                <w:sz w:val="20"/>
                <w:szCs w:val="20"/>
              </w:rPr>
              <w:t xml:space="preserve"> medinių konstrukcijų</w:t>
            </w:r>
            <w:r w:rsidR="00632ACC">
              <w:rPr>
                <w:sz w:val="20"/>
                <w:szCs w:val="20"/>
              </w:rPr>
              <w:t xml:space="preserve"> </w:t>
            </w:r>
            <w:r w:rsidR="00632ACC" w:rsidRPr="00632ACC">
              <w:rPr>
                <w:sz w:val="20"/>
                <w:szCs w:val="20"/>
              </w:rPr>
              <w:t>B-s1, d0</w:t>
            </w:r>
            <w:r w:rsidR="00632ACC">
              <w:rPr>
                <w:sz w:val="20"/>
                <w:szCs w:val="20"/>
              </w:rPr>
              <w:t xml:space="preserve"> degumo klasei užtikrinti</w:t>
            </w:r>
            <w:r w:rsidR="006E69E6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514C561" w14:textId="6553A590" w:rsidR="002C5A59" w:rsidRPr="007246B0" w:rsidRDefault="002C60B0" w:rsidP="00AD7028">
            <w:pPr>
              <w:ind w:left="-83" w:right="-34"/>
              <w:jc w:val="center"/>
              <w:rPr>
                <w:sz w:val="20"/>
                <w:szCs w:val="20"/>
              </w:rPr>
            </w:pPr>
            <w:r>
              <w:t>PROMADUR</w:t>
            </w:r>
            <w:r w:rsidRPr="00176A2E">
              <w:rPr>
                <w:vertAlign w:val="superscript"/>
              </w:rPr>
              <w:t>®</w:t>
            </w:r>
            <w:r>
              <w:rPr>
                <w:vertAlign w:val="superscript"/>
              </w:rPr>
              <w:t xml:space="preserve"> </w:t>
            </w:r>
            <w:r w:rsidR="002C5A59" w:rsidRPr="007246B0">
              <w:rPr>
                <w:color w:val="000000" w:themeColor="text1"/>
                <w:sz w:val="20"/>
                <w:szCs w:val="20"/>
              </w:rPr>
              <w:t>arba alternatyv</w:t>
            </w:r>
            <w:r>
              <w:rPr>
                <w:color w:val="000000" w:themeColor="text1"/>
                <w:sz w:val="20"/>
                <w:szCs w:val="20"/>
              </w:rPr>
              <w:t>i danga</w:t>
            </w:r>
          </w:p>
        </w:tc>
        <w:tc>
          <w:tcPr>
            <w:tcW w:w="803" w:type="dxa"/>
            <w:vAlign w:val="center"/>
          </w:tcPr>
          <w:p w14:paraId="68E50323" w14:textId="74F52C79" w:rsidR="002C5A59" w:rsidRPr="007246B0" w:rsidRDefault="009A3D31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01102B">
              <w:rPr>
                <w:sz w:val="20"/>
                <w:szCs w:val="20"/>
              </w:rPr>
              <w:t>itras</w:t>
            </w:r>
          </w:p>
        </w:tc>
        <w:tc>
          <w:tcPr>
            <w:tcW w:w="900" w:type="dxa"/>
            <w:vAlign w:val="center"/>
          </w:tcPr>
          <w:p w14:paraId="34B63AF2" w14:textId="77777777" w:rsidR="002C5A59" w:rsidRPr="007246B0" w:rsidRDefault="002C5A59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E00189A" w14:textId="77777777" w:rsidR="002C5A59" w:rsidRPr="007246B0" w:rsidRDefault="002C5A59" w:rsidP="00AD7028">
            <w:pPr>
              <w:jc w:val="center"/>
              <w:rPr>
                <w:sz w:val="20"/>
                <w:szCs w:val="20"/>
              </w:rPr>
            </w:pPr>
          </w:p>
        </w:tc>
      </w:tr>
      <w:tr w:rsidR="002C5A59" w:rsidRPr="007246B0" w14:paraId="2D3BC3CD" w14:textId="77777777" w:rsidTr="002C60B0">
        <w:trPr>
          <w:trHeight w:val="196"/>
        </w:trPr>
        <w:tc>
          <w:tcPr>
            <w:tcW w:w="900" w:type="dxa"/>
            <w:vAlign w:val="center"/>
          </w:tcPr>
          <w:p w14:paraId="023CB833" w14:textId="77777777" w:rsidR="002C5A59" w:rsidRPr="007246B0" w:rsidRDefault="002C5A59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14:paraId="6E7323B6" w14:textId="6A5ABD6C" w:rsidR="002C5A59" w:rsidRPr="007246B0" w:rsidRDefault="006E69E6" w:rsidP="002C60B0">
            <w:pPr>
              <w:ind w:right="35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Statin</w:t>
            </w:r>
            <w:r w:rsidR="002B450F">
              <w:rPr>
                <w:sz w:val="20"/>
                <w:szCs w:val="20"/>
              </w:rPr>
              <w:t xml:space="preserve">į laikančių </w:t>
            </w:r>
            <w:r>
              <w:rPr>
                <w:sz w:val="20"/>
                <w:szCs w:val="20"/>
              </w:rPr>
              <w:t xml:space="preserve">medinių konstrukcijų </w:t>
            </w:r>
            <w:r w:rsidR="002C60B0">
              <w:rPr>
                <w:sz w:val="20"/>
                <w:szCs w:val="20"/>
              </w:rPr>
              <w:t xml:space="preserve">R30 </w:t>
            </w:r>
            <w:r w:rsidR="002B450F">
              <w:rPr>
                <w:sz w:val="20"/>
                <w:szCs w:val="20"/>
              </w:rPr>
              <w:t xml:space="preserve">atsparumo ugniai </w:t>
            </w:r>
            <w:r>
              <w:rPr>
                <w:sz w:val="20"/>
                <w:szCs w:val="20"/>
              </w:rPr>
              <w:t>užtikrinti.</w:t>
            </w:r>
          </w:p>
        </w:tc>
        <w:tc>
          <w:tcPr>
            <w:tcW w:w="1985" w:type="dxa"/>
            <w:vAlign w:val="center"/>
          </w:tcPr>
          <w:p w14:paraId="522DFD3F" w14:textId="2A01770C" w:rsidR="002C5A59" w:rsidRPr="007246B0" w:rsidRDefault="009A3D31" w:rsidP="0001102B">
            <w:pPr>
              <w:pStyle w:val="normalIIrau"/>
              <w:ind w:left="-108" w:right="-108"/>
              <w:rPr>
                <w:sz w:val="20"/>
                <w:szCs w:val="20"/>
              </w:rPr>
            </w:pPr>
            <w:r>
              <w:t>PROMADUR</w:t>
            </w:r>
            <w:r w:rsidRPr="00176A2E">
              <w:rPr>
                <w:vertAlign w:val="superscript"/>
              </w:rPr>
              <w:t>®</w:t>
            </w:r>
            <w:r>
              <w:rPr>
                <w:vertAlign w:val="superscript"/>
              </w:rPr>
              <w:t xml:space="preserve"> </w:t>
            </w:r>
            <w:r w:rsidRPr="007246B0">
              <w:rPr>
                <w:color w:val="000000" w:themeColor="text1"/>
                <w:sz w:val="20"/>
                <w:szCs w:val="20"/>
              </w:rPr>
              <w:t>arba alternatyv</w:t>
            </w:r>
            <w:r>
              <w:rPr>
                <w:color w:val="000000" w:themeColor="text1"/>
                <w:sz w:val="20"/>
                <w:szCs w:val="20"/>
              </w:rPr>
              <w:t>i danga</w:t>
            </w:r>
          </w:p>
        </w:tc>
        <w:tc>
          <w:tcPr>
            <w:tcW w:w="803" w:type="dxa"/>
            <w:vAlign w:val="center"/>
          </w:tcPr>
          <w:p w14:paraId="49593BAB" w14:textId="7411D581" w:rsidR="002C5A59" w:rsidRPr="007246B0" w:rsidRDefault="0001102B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litras</w:t>
            </w:r>
          </w:p>
        </w:tc>
        <w:tc>
          <w:tcPr>
            <w:tcW w:w="900" w:type="dxa"/>
            <w:vAlign w:val="center"/>
          </w:tcPr>
          <w:p w14:paraId="7F52EA88" w14:textId="10B4E2BC" w:rsidR="002C5A59" w:rsidRPr="007246B0" w:rsidRDefault="002C5A59" w:rsidP="00AD7028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14:paraId="2AFC5453" w14:textId="77777777" w:rsidR="002C5A59" w:rsidRPr="007246B0" w:rsidRDefault="002C5A59" w:rsidP="00AD7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A3D31" w:rsidRPr="007246B0" w14:paraId="15F2E849" w14:textId="77777777" w:rsidTr="002C60B0">
        <w:trPr>
          <w:trHeight w:val="196"/>
        </w:trPr>
        <w:tc>
          <w:tcPr>
            <w:tcW w:w="900" w:type="dxa"/>
            <w:vAlign w:val="center"/>
          </w:tcPr>
          <w:p w14:paraId="3B884219" w14:textId="77777777" w:rsidR="009A3D31" w:rsidRPr="007246B0" w:rsidRDefault="009A3D31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14:paraId="755C83C8" w14:textId="202CBB7E" w:rsidR="009A3D31" w:rsidRDefault="0001102B" w:rsidP="002C60B0">
            <w:pPr>
              <w:ind w:righ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Statinį laikančių medinių konstrukcijų R</w:t>
            </w: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 xml:space="preserve"> atsparumo ugniai užtikrinti.</w:t>
            </w:r>
          </w:p>
        </w:tc>
        <w:tc>
          <w:tcPr>
            <w:tcW w:w="1985" w:type="dxa"/>
            <w:vAlign w:val="center"/>
          </w:tcPr>
          <w:p w14:paraId="79389387" w14:textId="56974CFB" w:rsidR="009A3D31" w:rsidRPr="007246B0" w:rsidRDefault="009A3D31" w:rsidP="0001102B">
            <w:pPr>
              <w:pStyle w:val="normalIIrau"/>
              <w:ind w:left="-108" w:right="-108"/>
              <w:rPr>
                <w:sz w:val="20"/>
                <w:szCs w:val="20"/>
              </w:rPr>
            </w:pPr>
            <w:r>
              <w:t>PROMADUR</w:t>
            </w:r>
            <w:r w:rsidRPr="00176A2E">
              <w:rPr>
                <w:vertAlign w:val="superscript"/>
              </w:rPr>
              <w:t>®</w:t>
            </w:r>
            <w:r>
              <w:rPr>
                <w:vertAlign w:val="superscript"/>
              </w:rPr>
              <w:t xml:space="preserve"> </w:t>
            </w:r>
            <w:r w:rsidRPr="007246B0">
              <w:rPr>
                <w:color w:val="000000" w:themeColor="text1"/>
                <w:sz w:val="20"/>
                <w:szCs w:val="20"/>
              </w:rPr>
              <w:t>arba alternatyv</w:t>
            </w:r>
            <w:r>
              <w:rPr>
                <w:color w:val="000000" w:themeColor="text1"/>
                <w:sz w:val="20"/>
                <w:szCs w:val="20"/>
              </w:rPr>
              <w:t>i danga</w:t>
            </w:r>
          </w:p>
        </w:tc>
        <w:tc>
          <w:tcPr>
            <w:tcW w:w="803" w:type="dxa"/>
            <w:vAlign w:val="center"/>
          </w:tcPr>
          <w:p w14:paraId="0A809643" w14:textId="44E3FDE1" w:rsidR="009A3D31" w:rsidRPr="007246B0" w:rsidRDefault="0001102B" w:rsidP="00AD70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litras</w:t>
            </w:r>
          </w:p>
        </w:tc>
        <w:tc>
          <w:tcPr>
            <w:tcW w:w="900" w:type="dxa"/>
            <w:vAlign w:val="center"/>
          </w:tcPr>
          <w:p w14:paraId="02113154" w14:textId="77777777" w:rsidR="009A3D31" w:rsidRPr="007246B0" w:rsidRDefault="009A3D31" w:rsidP="00AD7028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</w:tcPr>
          <w:p w14:paraId="689E24B3" w14:textId="77777777" w:rsidR="009A3D31" w:rsidRPr="007246B0" w:rsidRDefault="009A3D31" w:rsidP="00AD702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4A8EDF4" w14:textId="76FCC90E" w:rsidR="00DC6C48" w:rsidRDefault="00DC6C48" w:rsidP="00DC6C48">
      <w:pPr>
        <w:ind w:left="284" w:right="321" w:firstLine="387"/>
        <w:jc w:val="both"/>
      </w:pPr>
    </w:p>
    <w:p w14:paraId="397766A1" w14:textId="77777777" w:rsidR="00DC6C48" w:rsidRDefault="00DC6C48" w:rsidP="00B03BC7">
      <w:pPr>
        <w:ind w:left="284" w:right="321" w:firstLine="387"/>
        <w:jc w:val="both"/>
      </w:pPr>
    </w:p>
    <w:sectPr w:rsidR="00DC6C48" w:rsidSect="003D0C1E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567" w:right="387" w:bottom="567" w:left="1134" w:header="567" w:footer="528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pgNumType w:start="1" w:chapStyle="1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2E68" w14:textId="77777777" w:rsidR="00767AB5" w:rsidRDefault="00767AB5">
      <w:r>
        <w:separator/>
      </w:r>
    </w:p>
  </w:endnote>
  <w:endnote w:type="continuationSeparator" w:id="0">
    <w:p w14:paraId="1D346770" w14:textId="77777777" w:rsidR="00767AB5" w:rsidRDefault="007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85" w:usb1="08070000" w:usb2="00000010" w:usb3="00000000" w:csb0="0002000A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6A5" w14:textId="77777777" w:rsidR="00B07F94" w:rsidRDefault="00B07F94" w:rsidP="00ED453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1336A6" w14:textId="77777777" w:rsidR="00214B72" w:rsidRDefault="00214B72" w:rsidP="00B07F94">
    <w:pPr>
      <w:pStyle w:val="Porat"/>
      <w:ind w:right="360"/>
    </w:pPr>
  </w:p>
  <w:p w14:paraId="151336A7" w14:textId="77777777" w:rsidR="00214B72" w:rsidRDefault="00214B72"/>
  <w:p w14:paraId="151336A8" w14:textId="77777777" w:rsidR="00214B72" w:rsidRDefault="00214B72"/>
  <w:p w14:paraId="151336A9" w14:textId="77777777" w:rsidR="00214B72" w:rsidRDefault="00214B72"/>
  <w:p w14:paraId="151336AA" w14:textId="77777777" w:rsidR="00214B72" w:rsidRDefault="00214B72"/>
  <w:p w14:paraId="151336AB" w14:textId="77777777" w:rsidR="00214B72" w:rsidRDefault="00214B72"/>
  <w:p w14:paraId="151336AC" w14:textId="77777777" w:rsidR="00214B72" w:rsidRDefault="00214B72"/>
  <w:p w14:paraId="151336AD" w14:textId="77777777" w:rsidR="00214B72" w:rsidRDefault="00214B72"/>
  <w:p w14:paraId="151336AE" w14:textId="77777777" w:rsidR="00214B72" w:rsidRDefault="00214B72"/>
  <w:p w14:paraId="151336AF" w14:textId="77777777" w:rsidR="00214B72" w:rsidRDefault="00214B72"/>
  <w:p w14:paraId="151336B0" w14:textId="77777777" w:rsidR="00214B72" w:rsidRDefault="00214B72"/>
  <w:p w14:paraId="151336B1" w14:textId="77777777" w:rsidR="00214B72" w:rsidRDefault="00214B72"/>
  <w:p w14:paraId="151336B2" w14:textId="77777777" w:rsidR="00214B72" w:rsidRDefault="00214B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6B3" w14:textId="77777777" w:rsidR="00214B72" w:rsidRDefault="00214B72" w:rsidP="00B07F94">
    <w:pPr>
      <w:ind w:right="360"/>
      <w:rPr>
        <w:sz w:val="2"/>
      </w:rPr>
    </w:pPr>
  </w:p>
  <w:p w14:paraId="151336B4" w14:textId="77777777" w:rsidR="00214B72" w:rsidRDefault="00214B72">
    <w:pPr>
      <w:rPr>
        <w:sz w:val="2"/>
      </w:rPr>
    </w:pPr>
  </w:p>
  <w:tbl>
    <w:tblPr>
      <w:tblW w:w="10440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3402"/>
      <w:gridCol w:w="3690"/>
      <w:gridCol w:w="1080"/>
    </w:tblGrid>
    <w:tr w:rsidR="008379CC" w14:paraId="151336B9" w14:textId="77777777" w:rsidTr="00590F52">
      <w:trPr>
        <w:cantSplit/>
        <w:trHeight w:hRule="exact" w:val="284"/>
      </w:trPr>
      <w:tc>
        <w:tcPr>
          <w:tcW w:w="2268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151336B5" w14:textId="77777777" w:rsidR="008379CC" w:rsidRDefault="00590F52" w:rsidP="000113FB">
          <w:pPr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noProof/>
              <w:sz w:val="20"/>
            </w:rPr>
            <w:drawing>
              <wp:inline distT="0" distB="0" distL="0" distR="0" wp14:anchorId="151336CE" wp14:editId="151336CF">
                <wp:extent cx="1360571" cy="438150"/>
                <wp:effectExtent l="0" t="0" r="0" b="0"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571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14:paraId="151336B6" w14:textId="77777777" w:rsidR="008379CC" w:rsidRPr="000113FB" w:rsidRDefault="008379CC" w:rsidP="005256BC">
          <w:pPr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Rekomendacinė techninė specifikacija projektams</w:t>
          </w:r>
        </w:p>
      </w:tc>
      <w:tc>
        <w:tcPr>
          <w:tcW w:w="3690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151336B7" w14:textId="5168C1FD" w:rsidR="00573C83" w:rsidRPr="000113FB" w:rsidRDefault="00840EAD" w:rsidP="002321BC">
          <w:pPr>
            <w:pStyle w:val="Porat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>Statinį laikančių m</w:t>
          </w:r>
          <w:r w:rsidR="0003329A">
            <w:rPr>
              <w:rFonts w:ascii="Arial" w:hAnsi="Arial"/>
              <w:sz w:val="20"/>
            </w:rPr>
            <w:t xml:space="preserve">edinių </w:t>
          </w:r>
          <w:r>
            <w:rPr>
              <w:rFonts w:ascii="Arial" w:hAnsi="Arial"/>
              <w:sz w:val="20"/>
            </w:rPr>
            <w:t>konstrukcijų</w:t>
          </w:r>
          <w:r w:rsidR="0003329A">
            <w:rPr>
              <w:rFonts w:ascii="Arial" w:hAnsi="Arial"/>
              <w:sz w:val="20"/>
            </w:rPr>
            <w:t xml:space="preserve"> ugniaatsparinim</w:t>
          </w:r>
          <w:r w:rsidR="002321BC">
            <w:rPr>
              <w:rFonts w:ascii="Arial" w:hAnsi="Arial"/>
              <w:sz w:val="20"/>
            </w:rPr>
            <w:t xml:space="preserve">o </w:t>
          </w:r>
          <w:r w:rsidR="00C357CD">
            <w:rPr>
              <w:rFonts w:ascii="Arial" w:hAnsi="Arial"/>
              <w:sz w:val="20"/>
            </w:rPr>
            <w:t>danga</w:t>
          </w:r>
          <w:r w:rsidR="002321BC">
            <w:rPr>
              <w:rFonts w:ascii="Arial" w:hAnsi="Arial"/>
              <w:sz w:val="20"/>
            </w:rPr>
            <w:t xml:space="preserve"> </w:t>
          </w:r>
          <w:r>
            <w:rPr>
              <w:rFonts w:ascii="Arial" w:hAnsi="Arial"/>
              <w:sz w:val="20"/>
            </w:rPr>
            <w:t>PROMADUR</w:t>
          </w:r>
          <w:r w:rsidR="00C357CD" w:rsidRPr="00C357CD">
            <w:rPr>
              <w:rFonts w:ascii="Arial" w:hAnsi="Arial"/>
              <w:sz w:val="20"/>
              <w:vertAlign w:val="superscript"/>
            </w:rPr>
            <w:t>®</w:t>
          </w:r>
        </w:p>
      </w:tc>
      <w:tc>
        <w:tcPr>
          <w:tcW w:w="108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14:paraId="151336B8" w14:textId="77777777" w:rsidR="008379CC" w:rsidRPr="000113FB" w:rsidRDefault="008379CC" w:rsidP="005C7DF4">
          <w:pPr>
            <w:pStyle w:val="Porat"/>
            <w:jc w:val="center"/>
            <w:rPr>
              <w:rFonts w:ascii="Arial" w:hAnsi="Arial" w:cs="Arial"/>
              <w:sz w:val="20"/>
            </w:rPr>
          </w:pPr>
          <w:r w:rsidRPr="000113FB">
            <w:rPr>
              <w:rFonts w:ascii="Arial" w:hAnsi="Arial" w:cs="Arial"/>
              <w:sz w:val="20"/>
            </w:rPr>
            <w:t>Lap</w:t>
          </w:r>
          <w:r>
            <w:rPr>
              <w:rFonts w:ascii="Arial" w:hAnsi="Arial" w:cs="Arial"/>
              <w:sz w:val="20"/>
            </w:rPr>
            <w:t>as</w:t>
          </w:r>
        </w:p>
      </w:tc>
    </w:tr>
    <w:tr w:rsidR="008379CC" w14:paraId="151336BE" w14:textId="77777777" w:rsidTr="00590F52">
      <w:trPr>
        <w:cantSplit/>
        <w:trHeight w:hRule="exact" w:val="567"/>
      </w:trPr>
      <w:tc>
        <w:tcPr>
          <w:tcW w:w="2268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14:paraId="151336BA" w14:textId="77777777" w:rsidR="008379CC" w:rsidRDefault="008379CC" w:rsidP="00DA29B3">
          <w:pPr>
            <w:pStyle w:val="Porat"/>
            <w:rPr>
              <w:rFonts w:ascii="Arial" w:hAnsi="Arial" w:cs="Arial"/>
            </w:rPr>
          </w:pPr>
        </w:p>
      </w:tc>
      <w:tc>
        <w:tcPr>
          <w:tcW w:w="3402" w:type="dxa"/>
          <w:vMerge/>
          <w:tcBorders>
            <w:left w:val="nil"/>
            <w:bottom w:val="nil"/>
          </w:tcBorders>
        </w:tcPr>
        <w:p w14:paraId="151336BB" w14:textId="77777777" w:rsidR="008379CC" w:rsidRPr="000113FB" w:rsidRDefault="008379CC" w:rsidP="00DA29B3">
          <w:pPr>
            <w:pStyle w:val="Porat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690" w:type="dxa"/>
          <w:vMerge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151336BC" w14:textId="77777777" w:rsidR="008379CC" w:rsidRPr="000113FB" w:rsidRDefault="008379CC" w:rsidP="00DA29B3">
          <w:pPr>
            <w:pStyle w:val="Porat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80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14:paraId="151336BD" w14:textId="77777777" w:rsidR="008379CC" w:rsidRPr="000113FB" w:rsidRDefault="0003329A" w:rsidP="00DA29B3">
          <w:pPr>
            <w:pStyle w:val="Porat"/>
            <w:jc w:val="center"/>
            <w:rPr>
              <w:rFonts w:ascii="Arial" w:hAnsi="Arial" w:cs="Arial"/>
              <w:sz w:val="20"/>
            </w:rPr>
          </w:pPr>
          <w:r w:rsidRPr="0003329A">
            <w:rPr>
              <w:rFonts w:ascii="Arial" w:hAnsi="Arial" w:cs="Arial"/>
              <w:sz w:val="20"/>
            </w:rPr>
            <w:fldChar w:fldCharType="begin"/>
          </w:r>
          <w:r w:rsidRPr="0003329A">
            <w:rPr>
              <w:rFonts w:ascii="Arial" w:hAnsi="Arial" w:cs="Arial"/>
              <w:sz w:val="20"/>
            </w:rPr>
            <w:instrText>PAGE   \* MERGEFORMAT</w:instrText>
          </w:r>
          <w:r w:rsidRPr="0003329A">
            <w:rPr>
              <w:rFonts w:ascii="Arial" w:hAnsi="Arial" w:cs="Arial"/>
              <w:sz w:val="20"/>
            </w:rPr>
            <w:fldChar w:fldCharType="separate"/>
          </w:r>
          <w:r w:rsidR="007839EB">
            <w:rPr>
              <w:rFonts w:ascii="Arial" w:hAnsi="Arial" w:cs="Arial"/>
              <w:noProof/>
              <w:sz w:val="20"/>
            </w:rPr>
            <w:t>3</w:t>
          </w:r>
          <w:r w:rsidRPr="0003329A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151336BF" w14:textId="77777777" w:rsidR="00214B72" w:rsidRDefault="00214B72">
    <w:pPr>
      <w:tabs>
        <w:tab w:val="left" w:pos="3716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6C0" w14:textId="77777777" w:rsidR="00465C1B" w:rsidRDefault="00465C1B" w:rsidP="00DA29B3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7F94">
      <w:rPr>
        <w:rStyle w:val="Puslapionumeris"/>
        <w:noProof/>
      </w:rPr>
      <w:t>1</w:t>
    </w:r>
    <w:r>
      <w:rPr>
        <w:rStyle w:val="Puslapionumeris"/>
      </w:rPr>
      <w:fldChar w:fldCharType="end"/>
    </w:r>
  </w:p>
  <w:tbl>
    <w:tblPr>
      <w:tblW w:w="0" w:type="auto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41"/>
      <w:gridCol w:w="4241"/>
      <w:gridCol w:w="565"/>
      <w:gridCol w:w="565"/>
      <w:gridCol w:w="595"/>
    </w:tblGrid>
    <w:tr w:rsidR="008B7C44" w14:paraId="151336C6" w14:textId="77777777" w:rsidTr="00DA29B3">
      <w:trPr>
        <w:cantSplit/>
        <w:trHeight w:hRule="exact" w:val="284"/>
      </w:trPr>
      <w:tc>
        <w:tcPr>
          <w:tcW w:w="4241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151336C1" w14:textId="77777777" w:rsidR="008B7C44" w:rsidRDefault="008B7C44" w:rsidP="00465C1B">
          <w:pPr>
            <w:ind w:right="360"/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sz w:val="20"/>
            </w:rPr>
            <w:t>UAB Swelbalt</w:t>
          </w:r>
          <w:r w:rsidR="00465C1B">
            <w:rPr>
              <w:rFonts w:ascii="Arial" w:hAnsi="Arial"/>
              <w:i/>
              <w:iCs/>
              <w:sz w:val="20"/>
            </w:rPr>
            <w:t xml:space="preserve"> </w:t>
          </w:r>
        </w:p>
      </w:tc>
      <w:tc>
        <w:tcPr>
          <w:tcW w:w="424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14:paraId="151336C2" w14:textId="77777777" w:rsidR="008B7C44" w:rsidRDefault="008B7C44" w:rsidP="00DA29B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Tele2 kabelių įvado sandarinimo Roxtec G 4x3 montavimo instrukcija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151336C3" w14:textId="77777777" w:rsidR="008B7C44" w:rsidRDefault="008B7C44" w:rsidP="00DA29B3">
          <w:pPr>
            <w:pStyle w:val="Porat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Lapas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1336C4" w14:textId="77777777" w:rsidR="008B7C44" w:rsidRDefault="008B7C44" w:rsidP="00DA29B3">
          <w:pPr>
            <w:pStyle w:val="Porat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Lapų</w:t>
          </w:r>
        </w:p>
      </w:tc>
      <w:tc>
        <w:tcPr>
          <w:tcW w:w="595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14:paraId="151336C5" w14:textId="77777777" w:rsidR="008B7C44" w:rsidRDefault="008B7C44" w:rsidP="00DA29B3">
          <w:pPr>
            <w:pStyle w:val="Porat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Laida</w:t>
          </w:r>
        </w:p>
      </w:tc>
    </w:tr>
    <w:tr w:rsidR="008B7C44" w14:paraId="151336CC" w14:textId="77777777" w:rsidTr="00DA29B3">
      <w:trPr>
        <w:cantSplit/>
        <w:trHeight w:hRule="exact" w:val="567"/>
      </w:trPr>
      <w:tc>
        <w:tcPr>
          <w:tcW w:w="4241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14:paraId="151336C7" w14:textId="77777777" w:rsidR="008B7C44" w:rsidRDefault="008B7C44" w:rsidP="00DA29B3">
          <w:pPr>
            <w:pStyle w:val="Porat"/>
            <w:rPr>
              <w:rFonts w:ascii="Arial" w:hAnsi="Arial" w:cs="Arial"/>
            </w:rPr>
          </w:pPr>
        </w:p>
      </w:tc>
      <w:tc>
        <w:tcPr>
          <w:tcW w:w="4241" w:type="dxa"/>
          <w:vMerge/>
          <w:tcBorders>
            <w:left w:val="nil"/>
            <w:bottom w:val="nil"/>
          </w:tcBorders>
        </w:tcPr>
        <w:p w14:paraId="151336C8" w14:textId="77777777" w:rsidR="008B7C44" w:rsidRDefault="008B7C44" w:rsidP="00DA29B3">
          <w:pPr>
            <w:pStyle w:val="Porat"/>
            <w:jc w:val="center"/>
            <w:rPr>
              <w:rFonts w:ascii="Arial" w:hAnsi="Arial" w:cs="Arial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</w:tcBorders>
          <w:vAlign w:val="center"/>
        </w:tcPr>
        <w:p w14:paraId="151336C9" w14:textId="77777777" w:rsidR="008B7C44" w:rsidRDefault="008B7C44" w:rsidP="00DA29B3">
          <w:pPr>
            <w:pStyle w:val="Porat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151336CA" w14:textId="77777777" w:rsidR="008B7C44" w:rsidRDefault="00465C1B" w:rsidP="00DA29B3">
          <w:pPr>
            <w:pStyle w:val="Porat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3</w:t>
          </w:r>
        </w:p>
      </w:tc>
      <w:tc>
        <w:tcPr>
          <w:tcW w:w="595" w:type="dxa"/>
          <w:tcBorders>
            <w:bottom w:val="nil"/>
          </w:tcBorders>
          <w:vAlign w:val="center"/>
        </w:tcPr>
        <w:p w14:paraId="151336CB" w14:textId="77777777" w:rsidR="008B7C44" w:rsidRDefault="008B7C44" w:rsidP="00DA29B3">
          <w:pPr>
            <w:pStyle w:val="Porat"/>
            <w:jc w:val="center"/>
            <w:rPr>
              <w:rFonts w:ascii="Arial" w:hAnsi="Arial" w:cs="Arial"/>
              <w:sz w:val="22"/>
            </w:rPr>
          </w:pPr>
        </w:p>
      </w:tc>
    </w:tr>
  </w:tbl>
  <w:p w14:paraId="151336CD" w14:textId="77777777" w:rsidR="008B7C44" w:rsidRDefault="008B7C4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2534" w14:textId="77777777" w:rsidR="00767AB5" w:rsidRDefault="00767AB5">
      <w:r>
        <w:separator/>
      </w:r>
    </w:p>
  </w:footnote>
  <w:footnote w:type="continuationSeparator" w:id="0">
    <w:p w14:paraId="156D83FD" w14:textId="77777777" w:rsidR="00767AB5" w:rsidRDefault="0076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697" w14:textId="77777777" w:rsidR="00214B72" w:rsidRDefault="00214B72"/>
  <w:p w14:paraId="15133698" w14:textId="77777777" w:rsidR="00214B72" w:rsidRDefault="00214B72"/>
  <w:p w14:paraId="15133699" w14:textId="77777777" w:rsidR="00214B72" w:rsidRDefault="00214B72"/>
  <w:p w14:paraId="1513369A" w14:textId="77777777" w:rsidR="00214B72" w:rsidRDefault="00214B72"/>
  <w:p w14:paraId="1513369B" w14:textId="77777777" w:rsidR="00214B72" w:rsidRDefault="00214B72"/>
  <w:p w14:paraId="1513369C" w14:textId="77777777" w:rsidR="00214B72" w:rsidRDefault="00214B72"/>
  <w:p w14:paraId="1513369D" w14:textId="77777777" w:rsidR="00214B72" w:rsidRDefault="00214B72"/>
  <w:p w14:paraId="1513369E" w14:textId="77777777" w:rsidR="00214B72" w:rsidRDefault="00214B72"/>
  <w:p w14:paraId="1513369F" w14:textId="77777777" w:rsidR="00214B72" w:rsidRDefault="00214B72"/>
  <w:p w14:paraId="151336A0" w14:textId="77777777" w:rsidR="00214B72" w:rsidRDefault="00214B72"/>
  <w:p w14:paraId="151336A1" w14:textId="77777777" w:rsidR="00214B72" w:rsidRDefault="00214B72"/>
  <w:p w14:paraId="151336A2" w14:textId="77777777" w:rsidR="00214B72" w:rsidRDefault="00214B72"/>
  <w:p w14:paraId="151336A3" w14:textId="77777777" w:rsidR="00214B72" w:rsidRDefault="00214B72"/>
  <w:p w14:paraId="151336A4" w14:textId="77777777" w:rsidR="00214B72" w:rsidRDefault="00214B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57B"/>
    <w:multiLevelType w:val="hybridMultilevel"/>
    <w:tmpl w:val="85CC8C50"/>
    <w:lvl w:ilvl="0" w:tplc="0427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 w15:restartNumberingAfterBreak="0">
    <w:nsid w:val="09DF66B3"/>
    <w:multiLevelType w:val="hybridMultilevel"/>
    <w:tmpl w:val="38CAEFA2"/>
    <w:lvl w:ilvl="0" w:tplc="0427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344E6543"/>
    <w:multiLevelType w:val="hybridMultilevel"/>
    <w:tmpl w:val="E452B8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4C66"/>
    <w:multiLevelType w:val="hybridMultilevel"/>
    <w:tmpl w:val="C5386B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8008E"/>
    <w:multiLevelType w:val="hybridMultilevel"/>
    <w:tmpl w:val="709A22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3586"/>
    <w:multiLevelType w:val="hybridMultilevel"/>
    <w:tmpl w:val="3D681DE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BD5191"/>
    <w:multiLevelType w:val="hybridMultilevel"/>
    <w:tmpl w:val="5FE8D03A"/>
    <w:lvl w:ilvl="0" w:tplc="0427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851748483">
    <w:abstractNumId w:val="6"/>
  </w:num>
  <w:num w:numId="2" w16cid:durableId="974220440">
    <w:abstractNumId w:val="3"/>
  </w:num>
  <w:num w:numId="3" w16cid:durableId="1143037119">
    <w:abstractNumId w:val="5"/>
  </w:num>
  <w:num w:numId="4" w16cid:durableId="1870676979">
    <w:abstractNumId w:val="2"/>
  </w:num>
  <w:num w:numId="5" w16cid:durableId="1060909697">
    <w:abstractNumId w:val="4"/>
  </w:num>
  <w:num w:numId="6" w16cid:durableId="1226256667">
    <w:abstractNumId w:val="0"/>
  </w:num>
  <w:num w:numId="7" w16cid:durableId="19076912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86"/>
    <w:rsid w:val="0000559B"/>
    <w:rsid w:val="0001102B"/>
    <w:rsid w:val="000113FB"/>
    <w:rsid w:val="00014DE2"/>
    <w:rsid w:val="00015C9B"/>
    <w:rsid w:val="00015F49"/>
    <w:rsid w:val="0003329A"/>
    <w:rsid w:val="00051DB5"/>
    <w:rsid w:val="00052620"/>
    <w:rsid w:val="00056ADA"/>
    <w:rsid w:val="000608A9"/>
    <w:rsid w:val="000666A7"/>
    <w:rsid w:val="00073869"/>
    <w:rsid w:val="00083A00"/>
    <w:rsid w:val="000847F7"/>
    <w:rsid w:val="0009306B"/>
    <w:rsid w:val="000A4F33"/>
    <w:rsid w:val="000A6CAE"/>
    <w:rsid w:val="000B38C8"/>
    <w:rsid w:val="000B3A4D"/>
    <w:rsid w:val="000B7ACB"/>
    <w:rsid w:val="000C1EF3"/>
    <w:rsid w:val="000C691D"/>
    <w:rsid w:val="000D6338"/>
    <w:rsid w:val="000D659F"/>
    <w:rsid w:val="000E0449"/>
    <w:rsid w:val="000E1A33"/>
    <w:rsid w:val="000E3DA8"/>
    <w:rsid w:val="000F3A60"/>
    <w:rsid w:val="000F61F9"/>
    <w:rsid w:val="00107917"/>
    <w:rsid w:val="00114CF3"/>
    <w:rsid w:val="00122FAF"/>
    <w:rsid w:val="00144C8E"/>
    <w:rsid w:val="00145252"/>
    <w:rsid w:val="0014549D"/>
    <w:rsid w:val="0015086D"/>
    <w:rsid w:val="001522B5"/>
    <w:rsid w:val="00161C91"/>
    <w:rsid w:val="0016651A"/>
    <w:rsid w:val="00172639"/>
    <w:rsid w:val="00176A2E"/>
    <w:rsid w:val="00176BB1"/>
    <w:rsid w:val="00197175"/>
    <w:rsid w:val="001A2637"/>
    <w:rsid w:val="001A3EF4"/>
    <w:rsid w:val="001A6EDA"/>
    <w:rsid w:val="001B46CF"/>
    <w:rsid w:val="001B6C35"/>
    <w:rsid w:val="001C0212"/>
    <w:rsid w:val="001C5FE1"/>
    <w:rsid w:val="001D15FB"/>
    <w:rsid w:val="001D5805"/>
    <w:rsid w:val="001E206C"/>
    <w:rsid w:val="001F07AF"/>
    <w:rsid w:val="001F27C9"/>
    <w:rsid w:val="002058B3"/>
    <w:rsid w:val="002133E6"/>
    <w:rsid w:val="00214B72"/>
    <w:rsid w:val="002158E6"/>
    <w:rsid w:val="0022577B"/>
    <w:rsid w:val="00226E92"/>
    <w:rsid w:val="002321BC"/>
    <w:rsid w:val="002406D3"/>
    <w:rsid w:val="00241274"/>
    <w:rsid w:val="002464F8"/>
    <w:rsid w:val="00255DE3"/>
    <w:rsid w:val="002673A0"/>
    <w:rsid w:val="002710B5"/>
    <w:rsid w:val="00273628"/>
    <w:rsid w:val="00273FB6"/>
    <w:rsid w:val="00285342"/>
    <w:rsid w:val="00287E75"/>
    <w:rsid w:val="00296448"/>
    <w:rsid w:val="002A222A"/>
    <w:rsid w:val="002A2EF4"/>
    <w:rsid w:val="002A30D0"/>
    <w:rsid w:val="002B450F"/>
    <w:rsid w:val="002C0D28"/>
    <w:rsid w:val="002C21F6"/>
    <w:rsid w:val="002C3173"/>
    <w:rsid w:val="002C3F26"/>
    <w:rsid w:val="002C5A59"/>
    <w:rsid w:val="002C60B0"/>
    <w:rsid w:val="002D4B0A"/>
    <w:rsid w:val="002E00CC"/>
    <w:rsid w:val="002E3BCF"/>
    <w:rsid w:val="002F0F44"/>
    <w:rsid w:val="00311B5A"/>
    <w:rsid w:val="00311DDA"/>
    <w:rsid w:val="00313EB6"/>
    <w:rsid w:val="003247DA"/>
    <w:rsid w:val="00325BEB"/>
    <w:rsid w:val="00336A58"/>
    <w:rsid w:val="00341C6F"/>
    <w:rsid w:val="00341D7A"/>
    <w:rsid w:val="00344212"/>
    <w:rsid w:val="003469BE"/>
    <w:rsid w:val="003533CC"/>
    <w:rsid w:val="003559BC"/>
    <w:rsid w:val="003575D5"/>
    <w:rsid w:val="00362D31"/>
    <w:rsid w:val="003662FC"/>
    <w:rsid w:val="00366A12"/>
    <w:rsid w:val="00371C11"/>
    <w:rsid w:val="00380C28"/>
    <w:rsid w:val="00382CF3"/>
    <w:rsid w:val="00383C2F"/>
    <w:rsid w:val="00385C4F"/>
    <w:rsid w:val="00386073"/>
    <w:rsid w:val="0039242E"/>
    <w:rsid w:val="00394923"/>
    <w:rsid w:val="003957E0"/>
    <w:rsid w:val="003974A2"/>
    <w:rsid w:val="00397EDE"/>
    <w:rsid w:val="003B474A"/>
    <w:rsid w:val="003C1445"/>
    <w:rsid w:val="003C2F29"/>
    <w:rsid w:val="003C49CD"/>
    <w:rsid w:val="003D0C1E"/>
    <w:rsid w:val="003D70A7"/>
    <w:rsid w:val="003E14AC"/>
    <w:rsid w:val="003E225D"/>
    <w:rsid w:val="003E574C"/>
    <w:rsid w:val="003E7973"/>
    <w:rsid w:val="003E7AF0"/>
    <w:rsid w:val="003F7191"/>
    <w:rsid w:val="00400695"/>
    <w:rsid w:val="0040147C"/>
    <w:rsid w:val="00410D8E"/>
    <w:rsid w:val="0041212E"/>
    <w:rsid w:val="00416961"/>
    <w:rsid w:val="00416F9E"/>
    <w:rsid w:val="00421638"/>
    <w:rsid w:val="004328F3"/>
    <w:rsid w:val="00441C75"/>
    <w:rsid w:val="00442CF1"/>
    <w:rsid w:val="004537C0"/>
    <w:rsid w:val="00454962"/>
    <w:rsid w:val="00460276"/>
    <w:rsid w:val="004657DA"/>
    <w:rsid w:val="00465C1B"/>
    <w:rsid w:val="004665EC"/>
    <w:rsid w:val="00470393"/>
    <w:rsid w:val="00473124"/>
    <w:rsid w:val="00477B3E"/>
    <w:rsid w:val="00485DFE"/>
    <w:rsid w:val="00487F42"/>
    <w:rsid w:val="00492E0E"/>
    <w:rsid w:val="0049605B"/>
    <w:rsid w:val="00496E97"/>
    <w:rsid w:val="00497146"/>
    <w:rsid w:val="004A75DC"/>
    <w:rsid w:val="004B1A95"/>
    <w:rsid w:val="004B1E4D"/>
    <w:rsid w:val="004B28E4"/>
    <w:rsid w:val="004B44CE"/>
    <w:rsid w:val="004C3EC8"/>
    <w:rsid w:val="004E24C4"/>
    <w:rsid w:val="004E7152"/>
    <w:rsid w:val="004F46F8"/>
    <w:rsid w:val="00503729"/>
    <w:rsid w:val="00507798"/>
    <w:rsid w:val="00513EFA"/>
    <w:rsid w:val="005256BC"/>
    <w:rsid w:val="00542581"/>
    <w:rsid w:val="005446F3"/>
    <w:rsid w:val="0054587E"/>
    <w:rsid w:val="00560B05"/>
    <w:rsid w:val="00566648"/>
    <w:rsid w:val="00573592"/>
    <w:rsid w:val="00573C83"/>
    <w:rsid w:val="00577F56"/>
    <w:rsid w:val="00580635"/>
    <w:rsid w:val="0058274B"/>
    <w:rsid w:val="00583E87"/>
    <w:rsid w:val="005852B0"/>
    <w:rsid w:val="005859A8"/>
    <w:rsid w:val="00586E4C"/>
    <w:rsid w:val="00590F52"/>
    <w:rsid w:val="00596FC3"/>
    <w:rsid w:val="005B257A"/>
    <w:rsid w:val="005B4720"/>
    <w:rsid w:val="005C0B3E"/>
    <w:rsid w:val="005C6D68"/>
    <w:rsid w:val="005C7DF4"/>
    <w:rsid w:val="005D3223"/>
    <w:rsid w:val="005E013F"/>
    <w:rsid w:val="005E4D74"/>
    <w:rsid w:val="005E5630"/>
    <w:rsid w:val="005F438F"/>
    <w:rsid w:val="00604675"/>
    <w:rsid w:val="0060551F"/>
    <w:rsid w:val="0060729D"/>
    <w:rsid w:val="00620A6C"/>
    <w:rsid w:val="00625624"/>
    <w:rsid w:val="00632ACC"/>
    <w:rsid w:val="00641CAF"/>
    <w:rsid w:val="00642587"/>
    <w:rsid w:val="00660537"/>
    <w:rsid w:val="006760FE"/>
    <w:rsid w:val="0068002B"/>
    <w:rsid w:val="006906A7"/>
    <w:rsid w:val="00693B1F"/>
    <w:rsid w:val="0069489B"/>
    <w:rsid w:val="006949E9"/>
    <w:rsid w:val="00695540"/>
    <w:rsid w:val="00695721"/>
    <w:rsid w:val="006A6120"/>
    <w:rsid w:val="006A6EDD"/>
    <w:rsid w:val="006C203D"/>
    <w:rsid w:val="006C3698"/>
    <w:rsid w:val="006C53A1"/>
    <w:rsid w:val="006C5451"/>
    <w:rsid w:val="006D7CAE"/>
    <w:rsid w:val="006E69E6"/>
    <w:rsid w:val="006E700D"/>
    <w:rsid w:val="006F59BD"/>
    <w:rsid w:val="007079E7"/>
    <w:rsid w:val="00710AD2"/>
    <w:rsid w:val="00714E91"/>
    <w:rsid w:val="00717A09"/>
    <w:rsid w:val="00723448"/>
    <w:rsid w:val="00733F1A"/>
    <w:rsid w:val="0073578B"/>
    <w:rsid w:val="00746D71"/>
    <w:rsid w:val="00750535"/>
    <w:rsid w:val="0075649D"/>
    <w:rsid w:val="007629C3"/>
    <w:rsid w:val="00763FCD"/>
    <w:rsid w:val="007656A9"/>
    <w:rsid w:val="00767AB5"/>
    <w:rsid w:val="00770C7C"/>
    <w:rsid w:val="007755C3"/>
    <w:rsid w:val="007839EB"/>
    <w:rsid w:val="00784199"/>
    <w:rsid w:val="00790AA2"/>
    <w:rsid w:val="00790F0F"/>
    <w:rsid w:val="00792F96"/>
    <w:rsid w:val="007A6241"/>
    <w:rsid w:val="007B289D"/>
    <w:rsid w:val="007C3A7F"/>
    <w:rsid w:val="007D271F"/>
    <w:rsid w:val="007D4CCE"/>
    <w:rsid w:val="007D6427"/>
    <w:rsid w:val="007E67DA"/>
    <w:rsid w:val="007E7226"/>
    <w:rsid w:val="007F2DA8"/>
    <w:rsid w:val="007F3C31"/>
    <w:rsid w:val="007F70B8"/>
    <w:rsid w:val="008055D3"/>
    <w:rsid w:val="0080577E"/>
    <w:rsid w:val="00805F0C"/>
    <w:rsid w:val="008144F7"/>
    <w:rsid w:val="00814C4E"/>
    <w:rsid w:val="0082102D"/>
    <w:rsid w:val="0083085E"/>
    <w:rsid w:val="008379CC"/>
    <w:rsid w:val="00840EAD"/>
    <w:rsid w:val="00842855"/>
    <w:rsid w:val="008439F3"/>
    <w:rsid w:val="00843C54"/>
    <w:rsid w:val="00856EBE"/>
    <w:rsid w:val="00862A1D"/>
    <w:rsid w:val="00866E5E"/>
    <w:rsid w:val="00870F20"/>
    <w:rsid w:val="00875C38"/>
    <w:rsid w:val="0088702C"/>
    <w:rsid w:val="00890AFC"/>
    <w:rsid w:val="00894887"/>
    <w:rsid w:val="00894ACC"/>
    <w:rsid w:val="008B7C44"/>
    <w:rsid w:val="008C6F87"/>
    <w:rsid w:val="008D1748"/>
    <w:rsid w:val="008D33E0"/>
    <w:rsid w:val="008D63D0"/>
    <w:rsid w:val="008D7673"/>
    <w:rsid w:val="008E2250"/>
    <w:rsid w:val="008F1CD8"/>
    <w:rsid w:val="00901427"/>
    <w:rsid w:val="00911565"/>
    <w:rsid w:val="00913E28"/>
    <w:rsid w:val="00914CEB"/>
    <w:rsid w:val="009260DC"/>
    <w:rsid w:val="00926C1D"/>
    <w:rsid w:val="009410C4"/>
    <w:rsid w:val="0094291D"/>
    <w:rsid w:val="00953230"/>
    <w:rsid w:val="00954F47"/>
    <w:rsid w:val="00957369"/>
    <w:rsid w:val="009606E2"/>
    <w:rsid w:val="00961D60"/>
    <w:rsid w:val="00966547"/>
    <w:rsid w:val="0097649E"/>
    <w:rsid w:val="009936CE"/>
    <w:rsid w:val="00994631"/>
    <w:rsid w:val="009A2C2D"/>
    <w:rsid w:val="009A3D31"/>
    <w:rsid w:val="009A6170"/>
    <w:rsid w:val="009B273D"/>
    <w:rsid w:val="009C516E"/>
    <w:rsid w:val="009C7131"/>
    <w:rsid w:val="009C7B43"/>
    <w:rsid w:val="009D041F"/>
    <w:rsid w:val="009D316F"/>
    <w:rsid w:val="009E049E"/>
    <w:rsid w:val="009E6BE2"/>
    <w:rsid w:val="009F2510"/>
    <w:rsid w:val="009F3E93"/>
    <w:rsid w:val="009F4356"/>
    <w:rsid w:val="00A01EBD"/>
    <w:rsid w:val="00A043B0"/>
    <w:rsid w:val="00A1091F"/>
    <w:rsid w:val="00A20D86"/>
    <w:rsid w:val="00A22078"/>
    <w:rsid w:val="00A31DEE"/>
    <w:rsid w:val="00A332FA"/>
    <w:rsid w:val="00A33B05"/>
    <w:rsid w:val="00A42777"/>
    <w:rsid w:val="00A44B18"/>
    <w:rsid w:val="00A464BC"/>
    <w:rsid w:val="00A51086"/>
    <w:rsid w:val="00A5109A"/>
    <w:rsid w:val="00A610A0"/>
    <w:rsid w:val="00A61D84"/>
    <w:rsid w:val="00A641F5"/>
    <w:rsid w:val="00A654E0"/>
    <w:rsid w:val="00A656DD"/>
    <w:rsid w:val="00A853D6"/>
    <w:rsid w:val="00AA6846"/>
    <w:rsid w:val="00AB1811"/>
    <w:rsid w:val="00AB2430"/>
    <w:rsid w:val="00AC1814"/>
    <w:rsid w:val="00AC5206"/>
    <w:rsid w:val="00AD3106"/>
    <w:rsid w:val="00AD4502"/>
    <w:rsid w:val="00AD79F5"/>
    <w:rsid w:val="00AE5B75"/>
    <w:rsid w:val="00AF0ACB"/>
    <w:rsid w:val="00AF5862"/>
    <w:rsid w:val="00B03BC7"/>
    <w:rsid w:val="00B07F94"/>
    <w:rsid w:val="00B136A0"/>
    <w:rsid w:val="00B25115"/>
    <w:rsid w:val="00B27B83"/>
    <w:rsid w:val="00B3280A"/>
    <w:rsid w:val="00B34DDC"/>
    <w:rsid w:val="00B3546B"/>
    <w:rsid w:val="00B3593C"/>
    <w:rsid w:val="00B36ED7"/>
    <w:rsid w:val="00B46820"/>
    <w:rsid w:val="00B46F44"/>
    <w:rsid w:val="00B52FA8"/>
    <w:rsid w:val="00B53B93"/>
    <w:rsid w:val="00B550DE"/>
    <w:rsid w:val="00B613F5"/>
    <w:rsid w:val="00B63E57"/>
    <w:rsid w:val="00B63FD8"/>
    <w:rsid w:val="00B71386"/>
    <w:rsid w:val="00B732C0"/>
    <w:rsid w:val="00B82B09"/>
    <w:rsid w:val="00B8393C"/>
    <w:rsid w:val="00B83EB0"/>
    <w:rsid w:val="00B936FD"/>
    <w:rsid w:val="00B96693"/>
    <w:rsid w:val="00BA3097"/>
    <w:rsid w:val="00BA6DA0"/>
    <w:rsid w:val="00BB559D"/>
    <w:rsid w:val="00BD44A0"/>
    <w:rsid w:val="00BF39E3"/>
    <w:rsid w:val="00BF7248"/>
    <w:rsid w:val="00C063C5"/>
    <w:rsid w:val="00C103FF"/>
    <w:rsid w:val="00C11B96"/>
    <w:rsid w:val="00C14F46"/>
    <w:rsid w:val="00C15A06"/>
    <w:rsid w:val="00C15EBE"/>
    <w:rsid w:val="00C225F0"/>
    <w:rsid w:val="00C357CD"/>
    <w:rsid w:val="00C40421"/>
    <w:rsid w:val="00C5014A"/>
    <w:rsid w:val="00C51C4C"/>
    <w:rsid w:val="00C566FD"/>
    <w:rsid w:val="00C60776"/>
    <w:rsid w:val="00C624EC"/>
    <w:rsid w:val="00C64E4F"/>
    <w:rsid w:val="00C7478A"/>
    <w:rsid w:val="00C75142"/>
    <w:rsid w:val="00C80F2D"/>
    <w:rsid w:val="00C976B8"/>
    <w:rsid w:val="00CA199F"/>
    <w:rsid w:val="00CB0E18"/>
    <w:rsid w:val="00CB3E62"/>
    <w:rsid w:val="00CB611F"/>
    <w:rsid w:val="00CB6981"/>
    <w:rsid w:val="00CC5226"/>
    <w:rsid w:val="00CC5EA3"/>
    <w:rsid w:val="00CC72A9"/>
    <w:rsid w:val="00CD1D1D"/>
    <w:rsid w:val="00CD2D9D"/>
    <w:rsid w:val="00CD2E4D"/>
    <w:rsid w:val="00CD437A"/>
    <w:rsid w:val="00CF1836"/>
    <w:rsid w:val="00CF5CAE"/>
    <w:rsid w:val="00D01B8A"/>
    <w:rsid w:val="00D22380"/>
    <w:rsid w:val="00D23744"/>
    <w:rsid w:val="00D31682"/>
    <w:rsid w:val="00D32C8C"/>
    <w:rsid w:val="00D32E50"/>
    <w:rsid w:val="00D357E7"/>
    <w:rsid w:val="00D368DE"/>
    <w:rsid w:val="00D37028"/>
    <w:rsid w:val="00D44214"/>
    <w:rsid w:val="00D47F3E"/>
    <w:rsid w:val="00D533E5"/>
    <w:rsid w:val="00D6017F"/>
    <w:rsid w:val="00D76F4B"/>
    <w:rsid w:val="00D9434E"/>
    <w:rsid w:val="00DA29B3"/>
    <w:rsid w:val="00DA4A99"/>
    <w:rsid w:val="00DA6412"/>
    <w:rsid w:val="00DB4BF1"/>
    <w:rsid w:val="00DB565A"/>
    <w:rsid w:val="00DB6C7A"/>
    <w:rsid w:val="00DC21FA"/>
    <w:rsid w:val="00DC6A7C"/>
    <w:rsid w:val="00DC6C48"/>
    <w:rsid w:val="00DD123C"/>
    <w:rsid w:val="00DD207B"/>
    <w:rsid w:val="00DD4430"/>
    <w:rsid w:val="00DE1D16"/>
    <w:rsid w:val="00DE1FE9"/>
    <w:rsid w:val="00DE5413"/>
    <w:rsid w:val="00DE5669"/>
    <w:rsid w:val="00DE5D4F"/>
    <w:rsid w:val="00DE5EAF"/>
    <w:rsid w:val="00DF5F2E"/>
    <w:rsid w:val="00E00A40"/>
    <w:rsid w:val="00E00B2D"/>
    <w:rsid w:val="00E04602"/>
    <w:rsid w:val="00E06411"/>
    <w:rsid w:val="00E06D16"/>
    <w:rsid w:val="00E07BE0"/>
    <w:rsid w:val="00E07F9C"/>
    <w:rsid w:val="00E3587E"/>
    <w:rsid w:val="00E37C96"/>
    <w:rsid w:val="00E40094"/>
    <w:rsid w:val="00E4288D"/>
    <w:rsid w:val="00E42D0C"/>
    <w:rsid w:val="00E50E2F"/>
    <w:rsid w:val="00E51268"/>
    <w:rsid w:val="00E518C5"/>
    <w:rsid w:val="00E74001"/>
    <w:rsid w:val="00E753BA"/>
    <w:rsid w:val="00E76B20"/>
    <w:rsid w:val="00E77818"/>
    <w:rsid w:val="00E77C52"/>
    <w:rsid w:val="00E82977"/>
    <w:rsid w:val="00E871B4"/>
    <w:rsid w:val="00E91494"/>
    <w:rsid w:val="00E92E8C"/>
    <w:rsid w:val="00E943FB"/>
    <w:rsid w:val="00E97286"/>
    <w:rsid w:val="00EA38AE"/>
    <w:rsid w:val="00EA4928"/>
    <w:rsid w:val="00EB2E84"/>
    <w:rsid w:val="00EC3EF9"/>
    <w:rsid w:val="00ED0113"/>
    <w:rsid w:val="00ED163B"/>
    <w:rsid w:val="00ED3557"/>
    <w:rsid w:val="00ED4534"/>
    <w:rsid w:val="00ED652D"/>
    <w:rsid w:val="00EE71AE"/>
    <w:rsid w:val="00EF4B1D"/>
    <w:rsid w:val="00EF5B05"/>
    <w:rsid w:val="00F005B3"/>
    <w:rsid w:val="00F04212"/>
    <w:rsid w:val="00F04899"/>
    <w:rsid w:val="00F049BE"/>
    <w:rsid w:val="00F135D9"/>
    <w:rsid w:val="00F16A55"/>
    <w:rsid w:val="00F20AF2"/>
    <w:rsid w:val="00F2159C"/>
    <w:rsid w:val="00F224C9"/>
    <w:rsid w:val="00F45395"/>
    <w:rsid w:val="00F45A0C"/>
    <w:rsid w:val="00F4625F"/>
    <w:rsid w:val="00F57DC5"/>
    <w:rsid w:val="00F66655"/>
    <w:rsid w:val="00F678AA"/>
    <w:rsid w:val="00F67A9D"/>
    <w:rsid w:val="00F70E2D"/>
    <w:rsid w:val="00F744F2"/>
    <w:rsid w:val="00F758E6"/>
    <w:rsid w:val="00F77BF1"/>
    <w:rsid w:val="00F87AD4"/>
    <w:rsid w:val="00FA5F6F"/>
    <w:rsid w:val="00FB42E9"/>
    <w:rsid w:val="00FC57F5"/>
    <w:rsid w:val="00FC682A"/>
    <w:rsid w:val="00FD4121"/>
    <w:rsid w:val="00FD5EA0"/>
    <w:rsid w:val="00FD7232"/>
    <w:rsid w:val="00FE51A0"/>
    <w:rsid w:val="00FE68A2"/>
    <w:rsid w:val="00FE773C"/>
    <w:rsid w:val="00FF50C7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hapeDefaults>
    <o:shapedefaults v:ext="edit" spidmax="2050"/>
    <o:shapelayout v:ext="edit">
      <o:idmap v:ext="edit" data="2"/>
    </o:shapelayout>
  </w:shapeDefaults>
  <w:decimalSymbol w:val=","/>
  <w:listSeparator w:val=";"/>
  <w14:docId w14:val="151335C1"/>
  <w15:docId w15:val="{189F19AE-E853-43C0-947B-D52BF33C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06411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Antrat2">
    <w:name w:val="heading 2"/>
    <w:basedOn w:val="prastasis"/>
    <w:next w:val="prastasis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Antrat3">
    <w:name w:val="heading 3"/>
    <w:basedOn w:val="prastasis"/>
    <w:next w:val="prastasis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sz w:val="22"/>
    </w:rPr>
  </w:style>
  <w:style w:type="paragraph" w:styleId="Antrat5">
    <w:name w:val="heading 5"/>
    <w:basedOn w:val="prastasis"/>
    <w:next w:val="prastasis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Antrat8">
    <w:name w:val="heading 8"/>
    <w:basedOn w:val="prastasis"/>
    <w:next w:val="prastasis"/>
    <w:qFormat/>
    <w:pPr>
      <w:keepNext/>
      <w:outlineLvl w:val="7"/>
    </w:pPr>
    <w:rPr>
      <w:b/>
      <w:bCs/>
      <w:sz w:val="22"/>
      <w:szCs w:val="22"/>
    </w:rPr>
  </w:style>
  <w:style w:type="paragraph" w:styleId="Antrat9">
    <w:name w:val="heading 9"/>
    <w:basedOn w:val="prastasis"/>
    <w:next w:val="prastasis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uslapionumeris">
    <w:name w:val="page number"/>
    <w:basedOn w:val="Numatytasispastraiposriftas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left="142" w:firstLine="578"/>
      <w:jc w:val="both"/>
    </w:pPr>
  </w:style>
  <w:style w:type="paragraph" w:styleId="Tekstoblokas">
    <w:name w:val="Block Text"/>
    <w:basedOn w:val="prastasis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Pagrindiniotekstotrauka3">
    <w:name w:val="Body Text Indent 3"/>
    <w:basedOn w:val="prastasis"/>
    <w:pPr>
      <w:widowControl w:val="0"/>
      <w:ind w:left="360"/>
      <w:jc w:val="both"/>
    </w:pPr>
    <w:rPr>
      <w:szCs w:val="20"/>
      <w:lang w:val="en-AU"/>
    </w:rPr>
  </w:style>
  <w:style w:type="paragraph" w:styleId="Pagrindinistekstas2">
    <w:name w:val="Body Text 2"/>
    <w:basedOn w:val="prastasis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Pagrindiniotekstotrauka2">
    <w:name w:val="Body Text Indent 2"/>
    <w:basedOn w:val="prastasis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Komentaronuoroda">
    <w:name w:val="annotation reference"/>
    <w:basedOn w:val="Numatytasispastraiposriftas"/>
    <w:semiHidden/>
    <w:rPr>
      <w:sz w:val="16"/>
    </w:rPr>
  </w:style>
  <w:style w:type="paragraph" w:styleId="Pagrindinistekstas">
    <w:name w:val="Body Text"/>
    <w:basedOn w:val="prastasis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aprastasistekstas">
    <w:name w:val="Plain Text"/>
    <w:basedOn w:val="prastasis"/>
    <w:rPr>
      <w:rFonts w:ascii="Courier New" w:hAnsi="Courier New" w:cs="Courier New"/>
      <w:sz w:val="20"/>
      <w:szCs w:val="20"/>
    </w:rPr>
  </w:style>
  <w:style w:type="paragraph" w:styleId="prastasiniatinklio">
    <w:name w:val="Normal (Web)"/>
    <w:basedOn w:val="prastasis"/>
    <w:uiPriority w:val="99"/>
    <w:rPr>
      <w:lang w:val="en-US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prastasis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prastasis"/>
    <w:pPr>
      <w:jc w:val="center"/>
    </w:pPr>
  </w:style>
  <w:style w:type="paragraph" w:customStyle="1" w:styleId="normalr">
    <w:name w:val="normal.r"/>
    <w:basedOn w:val="prastasis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Numatytasispastraiposriftas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prastasis"/>
    <w:pPr>
      <w:tabs>
        <w:tab w:val="num" w:pos="284"/>
        <w:tab w:val="left" w:pos="851"/>
      </w:tabs>
    </w:pPr>
  </w:style>
  <w:style w:type="table" w:styleId="Lentelstinklelis">
    <w:name w:val="Table Grid"/>
    <w:basedOn w:val="prastojilente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Numatytasispastraiposriftas"/>
    <w:rsid w:val="00226E92"/>
  </w:style>
  <w:style w:type="character" w:customStyle="1" w:styleId="apple-converted-space">
    <w:name w:val="apple-converted-space"/>
    <w:basedOn w:val="Numatytasispastraiposriftas"/>
    <w:rsid w:val="00226E92"/>
  </w:style>
  <w:style w:type="character" w:styleId="Grietas">
    <w:name w:val="Strong"/>
    <w:basedOn w:val="Numatytasispastraiposriftas"/>
    <w:uiPriority w:val="22"/>
    <w:qFormat/>
    <w:rsid w:val="00226E92"/>
    <w:rPr>
      <w:b/>
      <w:bCs/>
    </w:rPr>
  </w:style>
  <w:style w:type="paragraph" w:styleId="Sraopastraipa">
    <w:name w:val="List Paragraph"/>
    <w:basedOn w:val="prastasis"/>
    <w:uiPriority w:val="34"/>
    <w:qFormat/>
    <w:rsid w:val="00D368DE"/>
    <w:pPr>
      <w:ind w:left="720"/>
      <w:contextualSpacing/>
    </w:pPr>
  </w:style>
  <w:style w:type="paragraph" w:customStyle="1" w:styleId="Pa2">
    <w:name w:val="Pa2"/>
    <w:basedOn w:val="prastasis"/>
    <w:next w:val="prastasis"/>
    <w:uiPriority w:val="99"/>
    <w:rsid w:val="00590F52"/>
    <w:pPr>
      <w:autoSpaceDE w:val="0"/>
      <w:autoSpaceDN w:val="0"/>
      <w:adjustRightInd w:val="0"/>
      <w:spacing w:line="241" w:lineRule="atLeast"/>
    </w:pPr>
    <w:rPr>
      <w:rFonts w:ascii="HelveticaNeueLT Pro 55 Roman" w:hAnsi="HelveticaNeueLT Pro 55 Roman"/>
      <w:lang w:eastAsia="en-US"/>
    </w:rPr>
  </w:style>
  <w:style w:type="character" w:customStyle="1" w:styleId="A0">
    <w:name w:val="A0"/>
    <w:uiPriority w:val="99"/>
    <w:rsid w:val="00590F52"/>
    <w:rPr>
      <w:rFonts w:cs="HelveticaNeueLT Pro 55 Roman"/>
      <w:color w:val="000000"/>
      <w:sz w:val="20"/>
      <w:szCs w:val="20"/>
    </w:rPr>
  </w:style>
  <w:style w:type="paragraph" w:customStyle="1" w:styleId="DecimalAligned">
    <w:name w:val="Decimal Aligned"/>
    <w:basedOn w:val="prastasis"/>
    <w:uiPriority w:val="40"/>
    <w:qFormat/>
    <w:rsid w:val="00410D8E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410D8E"/>
    <w:rPr>
      <w:rFonts w:asciiTheme="minorHAnsi" w:eastAsiaTheme="minorEastAsia" w:hAnsiTheme="minorHAnsi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410D8E"/>
    <w:rPr>
      <w:rFonts w:asciiTheme="minorHAnsi" w:eastAsiaTheme="minorEastAsia" w:hAnsiTheme="minorHAnsi"/>
      <w:lang w:val="lt-LT" w:eastAsia="lt-LT"/>
    </w:rPr>
  </w:style>
  <w:style w:type="character" w:styleId="Nerykuspabraukimas">
    <w:name w:val="Subtle Emphasis"/>
    <w:basedOn w:val="Numatytasispastraiposriftas"/>
    <w:uiPriority w:val="19"/>
    <w:qFormat/>
    <w:rsid w:val="00410D8E"/>
    <w:rPr>
      <w:i/>
      <w:iCs/>
    </w:rPr>
  </w:style>
  <w:style w:type="table" w:styleId="viesusspalvinimas1parykinimas">
    <w:name w:val="Light Shading Accent 1"/>
    <w:basedOn w:val="prastojilentel"/>
    <w:uiPriority w:val="60"/>
    <w:rsid w:val="00410D8E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lt-LT" w:eastAsia="lt-L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20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Įklija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409C-B5E3-4C03-8172-9F7D9FB29C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3c7299-f64d-4de4-a6a1-b40d3145528c}" enabled="0" method="" siteId="{e23c7299-f64d-4de4-a6a1-b40d31455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</Pages>
  <Words>3846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TSP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NERIJUS</dc:creator>
  <cp:lastModifiedBy>Mindaugas Jančiulis</cp:lastModifiedBy>
  <cp:revision>117</cp:revision>
  <cp:lastPrinted>2010-10-13T17:22:00Z</cp:lastPrinted>
  <dcterms:created xsi:type="dcterms:W3CDTF">2024-10-12T06:41:00Z</dcterms:created>
  <dcterms:modified xsi:type="dcterms:W3CDTF">2024-10-18T06:56:00Z</dcterms:modified>
</cp:coreProperties>
</file>